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bookmarkStart w:id="0" w:name="_GoBack"/>
      <w:bookmarkEnd w:id="0"/>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3B3433">
        <w:rPr>
          <w:rFonts w:ascii="Calibri" w:hAnsi="Calibri" w:cs="Calibri"/>
          <w:b/>
          <w:i/>
          <w:color w:val="000000"/>
        </w:rPr>
        <w:t>янва</w:t>
      </w:r>
      <w:r w:rsidR="007B09A8">
        <w:rPr>
          <w:rFonts w:ascii="Calibri" w:hAnsi="Calibri" w:cs="Calibri"/>
          <w:b/>
          <w:i/>
          <w:color w:val="000000"/>
        </w:rPr>
        <w:t>р</w:t>
      </w:r>
      <w:r w:rsidR="007827B5">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201</w:t>
      </w:r>
      <w:r w:rsidR="003B3433">
        <w:rPr>
          <w:rFonts w:ascii="Calibri" w:hAnsi="Calibri" w:cs="Calibri"/>
          <w:b/>
          <w:i/>
          <w:color w:val="000000"/>
        </w:rPr>
        <w:t>9</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138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Валовой региональный продукт в 2017 году по оценке составил более 553,3 млрд рублей, рост за 5 лет - на 77,9% (в действующих ценах)</w:t>
      </w:r>
    </w:p>
    <w:p w:rsidR="008A5923" w:rsidRPr="005216A1"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Индекс промышленного производства увеличился за 5 лет на 54,9% (в сопоставимых ценах)</w:t>
      </w:r>
    </w:p>
    <w:p w:rsidR="008A5923" w:rsidRPr="0010443A"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Объем инвестиций в основной капитал за счет всех источников финансирования за 5 лет составил 531,5 млрд, рост на 51,2% к 2012 году (в действующих ценах)</w:t>
      </w:r>
    </w:p>
    <w:p w:rsidR="008A5923" w:rsidRPr="0010443A" w:rsidRDefault="008A5923" w:rsidP="0010443A">
      <w:pPr>
        <w:pStyle w:val="af9"/>
        <w:widowControl w:val="0"/>
        <w:numPr>
          <w:ilvl w:val="0"/>
          <w:numId w:val="27"/>
        </w:numPr>
        <w:spacing w:before="96" w:after="96"/>
        <w:ind w:left="1139" w:hanging="357"/>
        <w:jc w:val="both"/>
        <w:rPr>
          <w:rFonts w:ascii="Arial" w:hAnsi="Arial" w:cs="Arial"/>
          <w:color w:val="000000"/>
          <w:sz w:val="20"/>
          <w:szCs w:val="20"/>
        </w:rPr>
      </w:pPr>
      <w:r w:rsidRPr="0010443A">
        <w:rPr>
          <w:rFonts w:ascii="Arial" w:hAnsi="Arial" w:cs="Arial"/>
          <w:i/>
          <w:color w:val="000000"/>
          <w:sz w:val="20"/>
          <w:szCs w:val="20"/>
        </w:rPr>
        <w:t>По объемам поступления налоговых и неналоговых доходов в консолидированный бюджет в 2017 году Тульская область занимает 5 место среди регионов ЦФО</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04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009"/>
        <w:gridCol w:w="1378"/>
        <w:gridCol w:w="2874"/>
        <w:gridCol w:w="1306"/>
        <w:gridCol w:w="1246"/>
        <w:gridCol w:w="1163"/>
      </w:tblGrid>
      <w:tr w:rsidR="009C240B" w:rsidRPr="00FA6B97" w:rsidTr="007920D0">
        <w:trPr>
          <w:trHeight w:val="425"/>
        </w:trPr>
        <w:tc>
          <w:tcPr>
            <w:tcW w:w="445" w:type="dxa"/>
            <w:shd w:val="clear" w:color="auto" w:fill="auto"/>
            <w:noWrap/>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 п/п</w:t>
            </w:r>
          </w:p>
        </w:tc>
        <w:tc>
          <w:tcPr>
            <w:tcW w:w="2009" w:type="dxa"/>
            <w:shd w:val="clear" w:color="auto" w:fill="auto"/>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Наименование инвестора</w:t>
            </w:r>
          </w:p>
        </w:tc>
        <w:tc>
          <w:tcPr>
            <w:tcW w:w="1378" w:type="dxa"/>
            <w:shd w:val="clear" w:color="auto" w:fill="auto"/>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Муниципальное образование</w:t>
            </w:r>
          </w:p>
        </w:tc>
        <w:tc>
          <w:tcPr>
            <w:tcW w:w="2874" w:type="dxa"/>
            <w:shd w:val="clear" w:color="auto" w:fill="auto"/>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Вид деятельности</w:t>
            </w:r>
          </w:p>
        </w:tc>
        <w:tc>
          <w:tcPr>
            <w:tcW w:w="1306" w:type="dxa"/>
            <w:shd w:val="clear" w:color="auto" w:fill="auto"/>
            <w:vAlign w:val="center"/>
            <w:hideMark/>
          </w:tcPr>
          <w:p w:rsidR="009C240B" w:rsidRPr="00FA6B97" w:rsidRDefault="009C240B" w:rsidP="00FA6B97">
            <w:pPr>
              <w:rPr>
                <w:rFonts w:ascii="Calibri" w:hAnsi="Calibri" w:cs="Calibri"/>
                <w:color w:val="000000"/>
                <w:sz w:val="16"/>
                <w:szCs w:val="16"/>
              </w:rPr>
            </w:pPr>
            <w:r>
              <w:rPr>
                <w:rFonts w:ascii="Calibri" w:hAnsi="Calibri" w:cs="Calibri"/>
                <w:color w:val="000000"/>
                <w:sz w:val="16"/>
                <w:szCs w:val="16"/>
              </w:rPr>
              <w:t>Сроки реализации пр</w:t>
            </w:r>
            <w:r w:rsidR="007B09A8">
              <w:rPr>
                <w:rFonts w:ascii="Calibri" w:hAnsi="Calibri" w:cs="Calibri"/>
                <w:color w:val="000000"/>
                <w:sz w:val="16"/>
                <w:szCs w:val="16"/>
              </w:rPr>
              <w:t>о</w:t>
            </w:r>
            <w:r>
              <w:rPr>
                <w:rFonts w:ascii="Calibri" w:hAnsi="Calibri" w:cs="Calibri"/>
                <w:color w:val="000000"/>
                <w:sz w:val="16"/>
                <w:szCs w:val="16"/>
              </w:rPr>
              <w:t>екта</w:t>
            </w:r>
          </w:p>
        </w:tc>
        <w:tc>
          <w:tcPr>
            <w:tcW w:w="1246" w:type="dxa"/>
            <w:shd w:val="clear" w:color="auto" w:fill="auto"/>
            <w:vAlign w:val="center"/>
            <w:hideMark/>
          </w:tcPr>
          <w:p w:rsidR="009C240B" w:rsidRPr="00FA6B97" w:rsidRDefault="009C240B" w:rsidP="006A02FA">
            <w:pPr>
              <w:rPr>
                <w:rFonts w:ascii="Calibri" w:hAnsi="Calibri" w:cs="Calibri"/>
                <w:color w:val="000000"/>
                <w:sz w:val="16"/>
                <w:szCs w:val="16"/>
              </w:rPr>
            </w:pPr>
            <w:r>
              <w:rPr>
                <w:rFonts w:ascii="Calibri" w:hAnsi="Calibri" w:cs="Calibri"/>
                <w:color w:val="000000"/>
                <w:sz w:val="16"/>
                <w:szCs w:val="16"/>
              </w:rPr>
              <w:t>О</w:t>
            </w:r>
            <w:r w:rsidRPr="00FA6B97">
              <w:rPr>
                <w:rFonts w:ascii="Calibri" w:hAnsi="Calibri" w:cs="Calibri"/>
                <w:color w:val="000000"/>
                <w:sz w:val="16"/>
                <w:szCs w:val="16"/>
              </w:rPr>
              <w:t>бъем инвестиций</w:t>
            </w:r>
            <w:r>
              <w:rPr>
                <w:rFonts w:ascii="Calibri" w:hAnsi="Calibri" w:cs="Calibri"/>
                <w:color w:val="000000"/>
                <w:sz w:val="16"/>
                <w:szCs w:val="16"/>
              </w:rPr>
              <w:t>, млн</w:t>
            </w:r>
            <w:r w:rsidR="006A02FA">
              <w:rPr>
                <w:rFonts w:ascii="Calibri" w:hAnsi="Calibri" w:cs="Calibri"/>
                <w:color w:val="000000"/>
                <w:sz w:val="16"/>
                <w:szCs w:val="16"/>
              </w:rPr>
              <w:t xml:space="preserve">. </w:t>
            </w:r>
            <w:r>
              <w:rPr>
                <w:rFonts w:ascii="Calibri" w:hAnsi="Calibri" w:cs="Calibri"/>
                <w:color w:val="000000"/>
                <w:sz w:val="16"/>
                <w:szCs w:val="16"/>
              </w:rPr>
              <w:t>руб.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1163" w:type="dxa"/>
            <w:shd w:val="clear" w:color="auto" w:fill="auto"/>
            <w:vAlign w:val="center"/>
            <w:hideMark/>
          </w:tcPr>
          <w:p w:rsidR="009C240B" w:rsidRPr="00FA6B97" w:rsidRDefault="009C240B" w:rsidP="007920D0">
            <w:pPr>
              <w:rPr>
                <w:rFonts w:ascii="Calibri" w:hAnsi="Calibri" w:cs="Calibri"/>
                <w:color w:val="000000"/>
                <w:sz w:val="16"/>
                <w:szCs w:val="16"/>
              </w:rPr>
            </w:pPr>
            <w:r>
              <w:rPr>
                <w:rFonts w:ascii="Calibri" w:hAnsi="Calibri" w:cs="Calibri"/>
                <w:color w:val="000000"/>
                <w:sz w:val="16"/>
                <w:szCs w:val="16"/>
              </w:rPr>
              <w:t xml:space="preserve">Кол-во рабочих </w:t>
            </w:r>
            <w:r w:rsidR="007920D0">
              <w:rPr>
                <w:rFonts w:ascii="Calibri" w:hAnsi="Calibri" w:cs="Calibri"/>
                <w:color w:val="000000"/>
                <w:sz w:val="16"/>
                <w:szCs w:val="16"/>
              </w:rPr>
              <w:t>м</w:t>
            </w:r>
            <w:r>
              <w:rPr>
                <w:rFonts w:ascii="Calibri" w:hAnsi="Calibri" w:cs="Calibri"/>
                <w:color w:val="000000"/>
                <w:sz w:val="16"/>
                <w:szCs w:val="16"/>
              </w:rPr>
              <w:t>ест,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1</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АгроГриб</w:t>
            </w:r>
            <w:proofErr w:type="spellEnd"/>
            <w:r w:rsidRPr="009C240B">
              <w:rPr>
                <w:rFonts w:ascii="Calibri" w:hAnsi="Calibri" w:cs="Calibri"/>
                <w:color w:val="000000"/>
                <w:sz w:val="16"/>
                <w:szCs w:val="16"/>
              </w:rPr>
              <w:t>»</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7920D0">
            <w:pPr>
              <w:jc w:val="both"/>
              <w:rPr>
                <w:rFonts w:ascii="Calibri" w:hAnsi="Calibri" w:cs="Calibri"/>
                <w:color w:val="000000"/>
                <w:sz w:val="16"/>
                <w:szCs w:val="16"/>
              </w:rPr>
            </w:pPr>
            <w:r w:rsidRPr="009C240B">
              <w:rPr>
                <w:rFonts w:ascii="Calibri" w:hAnsi="Calibri" w:cs="Calibri"/>
                <w:color w:val="000000"/>
                <w:sz w:val="16"/>
                <w:szCs w:val="16"/>
              </w:rPr>
              <w:t>Строительство тепличного комплекса по выращиванию шампиньонов</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2016-2021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6 200</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919</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2</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Арнест</w:t>
            </w:r>
            <w:proofErr w:type="spellEnd"/>
            <w:r w:rsidRPr="009C240B">
              <w:rPr>
                <w:rFonts w:ascii="Calibri" w:hAnsi="Calibri" w:cs="Calibri"/>
                <w:color w:val="000000"/>
                <w:sz w:val="16"/>
                <w:szCs w:val="16"/>
              </w:rPr>
              <w:t xml:space="preserve"> </w:t>
            </w:r>
            <w:proofErr w:type="spellStart"/>
            <w:r w:rsidRPr="009C240B">
              <w:rPr>
                <w:rFonts w:ascii="Calibri" w:hAnsi="Calibri" w:cs="Calibri"/>
                <w:color w:val="000000"/>
                <w:sz w:val="16"/>
                <w:szCs w:val="16"/>
              </w:rPr>
              <w:t>МеталлПак</w:t>
            </w:r>
            <w:proofErr w:type="spellEnd"/>
            <w:r w:rsidRPr="009C240B">
              <w:rPr>
                <w:rFonts w:ascii="Calibri" w:hAnsi="Calibri" w:cs="Calibri"/>
                <w:color w:val="000000"/>
                <w:sz w:val="16"/>
                <w:szCs w:val="16"/>
              </w:rPr>
              <w:t>»</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2016-2020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456,9</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127</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3</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СтальПолимер</w:t>
            </w:r>
            <w:proofErr w:type="spellEnd"/>
            <w:r w:rsidRPr="009C240B">
              <w:rPr>
                <w:rFonts w:ascii="Calibri" w:hAnsi="Calibri" w:cs="Calibri"/>
                <w:color w:val="000000"/>
                <w:sz w:val="16"/>
                <w:szCs w:val="16"/>
              </w:rPr>
              <w:t>»</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производства рулонной оцинкованной стали с полимерным покрытием</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2017-2018</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260,5</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60</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4</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«ИТЕКМА-СИНТЕЗ»</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малотоннажного химического производства компонентов для высокотехнологичных полимерных композиционных материалов</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2017-2019</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176,2</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38</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5</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«ТЕНЗОГРАФ»</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производства высокотемпературных композиционных уплотнительных материалов для герметизации оборудования и трубопроводов и производства климатических панелей</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2017-2019</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190,66</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66</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lastRenderedPageBreak/>
              <w:t>6</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«Универсальные технологии и материалы»</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производства высокотехнологичных защитных покрытий</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2017-2019</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405,04</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176</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7</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Хавейл</w:t>
            </w:r>
            <w:proofErr w:type="spellEnd"/>
            <w:r w:rsidRPr="009C240B">
              <w:rPr>
                <w:rFonts w:ascii="Calibri" w:hAnsi="Calibri" w:cs="Calibri"/>
                <w:color w:val="000000"/>
                <w:sz w:val="16"/>
                <w:szCs w:val="16"/>
              </w:rPr>
              <w:t xml:space="preserve"> Мотор </w:t>
            </w:r>
            <w:proofErr w:type="spellStart"/>
            <w:r w:rsidRPr="009C240B">
              <w:rPr>
                <w:rFonts w:ascii="Calibri" w:hAnsi="Calibri" w:cs="Calibri"/>
                <w:color w:val="000000"/>
                <w:sz w:val="16"/>
                <w:szCs w:val="16"/>
              </w:rPr>
              <w:t>Мануфэкчуринг</w:t>
            </w:r>
            <w:proofErr w:type="spellEnd"/>
            <w:r w:rsidRPr="009C240B">
              <w:rPr>
                <w:rFonts w:ascii="Calibri" w:hAnsi="Calibri" w:cs="Calibri"/>
                <w:color w:val="000000"/>
                <w:sz w:val="16"/>
                <w:szCs w:val="16"/>
              </w:rPr>
              <w:t xml:space="preserve"> Рус»</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Строительство завода по производству автомобилей</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2014-2020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30 150</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2500</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8</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Тулачермет</w:t>
            </w:r>
            <w:proofErr w:type="spellEnd"/>
            <w:r w:rsidRPr="009C240B">
              <w:rPr>
                <w:rFonts w:ascii="Calibri" w:hAnsi="Calibri" w:cs="Calibri"/>
                <w:color w:val="000000"/>
                <w:sz w:val="16"/>
                <w:szCs w:val="16"/>
              </w:rPr>
              <w:t>-Сталь»</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г. Тула</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 xml:space="preserve">Строительство литейно-прокатного комплекса </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2013-2021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42 916</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1680</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9</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Агрохолдинг «Суворовский»</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Щекинский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 xml:space="preserve">Строительство тепличного комплекса </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2017-2020</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26 770</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1325</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2017 году и в плановый период 2018-2019 гг.</w:t>
      </w:r>
      <w:r w:rsidR="004407CF">
        <w:rPr>
          <w:rStyle w:val="af3"/>
          <w:rFonts w:ascii="Calibri" w:hAnsi="Calibri" w:cs="Calibri"/>
          <w:i/>
          <w:color w:val="000000"/>
          <w:sz w:val="22"/>
          <w:szCs w:val="22"/>
        </w:rPr>
        <w:footnoteReference w:id="3"/>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64"/>
        <w:gridCol w:w="5244"/>
        <w:gridCol w:w="2835"/>
      </w:tblGrid>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 п/п</w:t>
            </w:r>
          </w:p>
        </w:tc>
        <w:tc>
          <w:tcPr>
            <w:tcW w:w="226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Способ реализации объекта</w:t>
            </w:r>
          </w:p>
        </w:tc>
        <w:tc>
          <w:tcPr>
            <w:tcW w:w="524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Наименование объекта</w:t>
            </w:r>
          </w:p>
        </w:tc>
        <w:tc>
          <w:tcPr>
            <w:tcW w:w="283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Месторасположение</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(склад ядохимикатов, лит. А) общей площадью 62,6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24829,0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w:t>
            </w:r>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 Тульская область, Ясногорский район, с. Богословское</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(магазин, лит. Л.Л*) общей площадью 191,2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305,0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г. </w:t>
            </w:r>
            <w:proofErr w:type="spellStart"/>
            <w:r w:rsidRPr="007920D0">
              <w:rPr>
                <w:rFonts w:ascii="Calibri" w:hAnsi="Calibri" w:cs="Calibri"/>
                <w:color w:val="000000"/>
                <w:sz w:val="16"/>
                <w:szCs w:val="16"/>
              </w:rPr>
              <w:t>Кимовск</w:t>
            </w:r>
            <w:proofErr w:type="spellEnd"/>
            <w:r w:rsidRPr="007920D0">
              <w:rPr>
                <w:rFonts w:ascii="Calibri" w:hAnsi="Calibri" w:cs="Calibri"/>
                <w:color w:val="000000"/>
                <w:sz w:val="16"/>
                <w:szCs w:val="16"/>
              </w:rPr>
              <w:t>, ул. Советская</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конкурсе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(автомойка) общей площадью 219,4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1389,0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Тула, Зареченский район, ул. Максима Горького, д. 2-е</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Четыре нежилых здания (</w:t>
            </w:r>
            <w:proofErr w:type="spellStart"/>
            <w:r w:rsidRPr="007920D0">
              <w:rPr>
                <w:rFonts w:ascii="Calibri" w:hAnsi="Calibri" w:cs="Calibri"/>
                <w:color w:val="000000"/>
                <w:sz w:val="16"/>
                <w:szCs w:val="16"/>
              </w:rPr>
              <w:t>киновидеопрокат</w:t>
            </w:r>
            <w:proofErr w:type="spellEnd"/>
            <w:r w:rsidRPr="007920D0">
              <w:rPr>
                <w:rFonts w:ascii="Calibri" w:hAnsi="Calibri" w:cs="Calibri"/>
                <w:color w:val="000000"/>
                <w:sz w:val="16"/>
                <w:szCs w:val="16"/>
              </w:rPr>
              <w:t xml:space="preserve">, 2 здания кинопроката, гараж) общей площадью 2680,7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6839,0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w:t>
            </w:r>
            <w:proofErr w:type="spellStart"/>
            <w:r w:rsidRPr="007920D0">
              <w:rPr>
                <w:rFonts w:ascii="Calibri" w:hAnsi="Calibri" w:cs="Calibri"/>
                <w:color w:val="000000"/>
                <w:sz w:val="16"/>
                <w:szCs w:val="16"/>
              </w:rPr>
              <w:t>Узловский</w:t>
            </w:r>
            <w:proofErr w:type="spellEnd"/>
            <w:r w:rsidRPr="007920D0">
              <w:rPr>
                <w:rFonts w:ascii="Calibri" w:hAnsi="Calibri" w:cs="Calibri"/>
                <w:color w:val="000000"/>
                <w:sz w:val="16"/>
                <w:szCs w:val="16"/>
              </w:rPr>
              <w:t xml:space="preserve"> район, г. Узловая, ул. Заводская, д. 32</w:t>
            </w:r>
          </w:p>
        </w:tc>
      </w:tr>
      <w:tr w:rsidR="007920D0" w:rsidRPr="00DF111B" w:rsidTr="005B2154">
        <w:trPr>
          <w:trHeight w:val="425"/>
        </w:trPr>
        <w:tc>
          <w:tcPr>
            <w:tcW w:w="445"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5</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Три нежилых здания (здание центра, лит. А, здание пищеблока, лит. Б, с пристройкой, лит. б, склад, лит. В) общей площадью 401,8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1929,0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Белев, ул. Лермонтова, д. 3</w:t>
            </w:r>
          </w:p>
        </w:tc>
      </w:tr>
      <w:tr w:rsidR="007920D0" w:rsidRPr="00DF111B" w:rsidTr="005B2154">
        <w:trPr>
          <w:trHeight w:val="425"/>
        </w:trPr>
        <w:tc>
          <w:tcPr>
            <w:tcW w:w="445"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6</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лит. А общей площадью 1804,5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6950,0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w:t>
            </w:r>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Белев, пл. Пролетарская, д. 7</w:t>
            </w:r>
          </w:p>
        </w:tc>
      </w:tr>
      <w:tr w:rsidR="007920D0" w:rsidRPr="00DF111B" w:rsidTr="005B2154">
        <w:trPr>
          <w:trHeight w:val="425"/>
        </w:trPr>
        <w:tc>
          <w:tcPr>
            <w:tcW w:w="445"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7</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лит. А, бытовые помещения, лит. Б общей площадью 987,7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1925,0 кв. м</w:t>
            </w:r>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г. Донской, </w:t>
            </w:r>
            <w:proofErr w:type="spellStart"/>
            <w:r w:rsidRPr="007920D0">
              <w:rPr>
                <w:rFonts w:ascii="Calibri" w:hAnsi="Calibri" w:cs="Calibri"/>
                <w:color w:val="000000"/>
                <w:sz w:val="16"/>
                <w:szCs w:val="16"/>
              </w:rPr>
              <w:t>мкр</w:t>
            </w:r>
            <w:proofErr w:type="spellEnd"/>
            <w:r w:rsidRPr="007920D0">
              <w:rPr>
                <w:rFonts w:ascii="Calibri" w:hAnsi="Calibri" w:cs="Calibri"/>
                <w:color w:val="000000"/>
                <w:sz w:val="16"/>
                <w:szCs w:val="16"/>
              </w:rPr>
              <w:t>. Северо-Задонск, ул. Строительная, д. 28</w:t>
            </w:r>
          </w:p>
        </w:tc>
      </w:tr>
      <w:tr w:rsidR="007920D0" w:rsidRPr="00DF111B" w:rsidTr="005B2154">
        <w:trPr>
          <w:trHeight w:val="425"/>
        </w:trPr>
        <w:tc>
          <w:tcPr>
            <w:tcW w:w="445" w:type="dxa"/>
            <w:shd w:val="clear" w:color="auto" w:fill="auto"/>
            <w:vAlign w:val="center"/>
          </w:tcPr>
          <w:p w:rsidR="007920D0" w:rsidRPr="00DF111B" w:rsidRDefault="007920D0" w:rsidP="007920D0">
            <w:pPr>
              <w:rPr>
                <w:rFonts w:ascii="Calibri" w:hAnsi="Calibri" w:cs="Calibri"/>
                <w:color w:val="000000"/>
                <w:sz w:val="16"/>
                <w:szCs w:val="16"/>
              </w:rPr>
            </w:pPr>
            <w:r>
              <w:rPr>
                <w:rFonts w:ascii="Calibri" w:hAnsi="Calibri" w:cs="Calibri"/>
                <w:color w:val="000000"/>
                <w:sz w:val="16"/>
                <w:szCs w:val="16"/>
              </w:rPr>
              <w:t>8</w:t>
            </w:r>
          </w:p>
        </w:tc>
        <w:tc>
          <w:tcPr>
            <w:tcW w:w="2264" w:type="dxa"/>
            <w:shd w:val="clear" w:color="auto" w:fill="auto"/>
          </w:tcPr>
          <w:p w:rsidR="007920D0" w:rsidRDefault="007920D0" w:rsidP="007920D0">
            <w:r w:rsidRPr="00FC272E">
              <w:rPr>
                <w:rFonts w:ascii="Calibri" w:hAnsi="Calibri" w:cs="Calibri"/>
                <w:color w:val="000000"/>
                <w:sz w:val="16"/>
                <w:szCs w:val="16"/>
              </w:rPr>
              <w:t>Продажа государственного имущества на аукционе</w:t>
            </w:r>
          </w:p>
        </w:tc>
        <w:tc>
          <w:tcPr>
            <w:tcW w:w="5244"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лит. В1 общей площадью 27,1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70,0 кв. м</w:t>
            </w:r>
          </w:p>
        </w:tc>
        <w:tc>
          <w:tcPr>
            <w:tcW w:w="2835"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город Тула, Советский район, ул. Фридриха Энгельса, 66-а</w:t>
            </w:r>
          </w:p>
        </w:tc>
      </w:tr>
      <w:tr w:rsidR="007920D0" w:rsidRPr="00DF111B" w:rsidTr="005B2154">
        <w:trPr>
          <w:trHeight w:val="425"/>
        </w:trPr>
        <w:tc>
          <w:tcPr>
            <w:tcW w:w="445" w:type="dxa"/>
            <w:shd w:val="clear" w:color="auto" w:fill="auto"/>
            <w:vAlign w:val="center"/>
          </w:tcPr>
          <w:p w:rsidR="007920D0" w:rsidRPr="00DF111B" w:rsidRDefault="007920D0" w:rsidP="007920D0">
            <w:pPr>
              <w:rPr>
                <w:rFonts w:ascii="Calibri" w:hAnsi="Calibri" w:cs="Calibri"/>
                <w:color w:val="000000"/>
                <w:sz w:val="16"/>
                <w:szCs w:val="16"/>
              </w:rPr>
            </w:pPr>
            <w:r>
              <w:rPr>
                <w:rFonts w:ascii="Calibri" w:hAnsi="Calibri" w:cs="Calibri"/>
                <w:color w:val="000000"/>
                <w:sz w:val="16"/>
                <w:szCs w:val="16"/>
              </w:rPr>
              <w:t>9</w:t>
            </w:r>
          </w:p>
        </w:tc>
        <w:tc>
          <w:tcPr>
            <w:tcW w:w="2264" w:type="dxa"/>
            <w:shd w:val="clear" w:color="auto" w:fill="auto"/>
          </w:tcPr>
          <w:p w:rsidR="007920D0" w:rsidRDefault="007920D0" w:rsidP="007920D0">
            <w:r w:rsidRPr="00FC272E">
              <w:rPr>
                <w:rFonts w:ascii="Calibri" w:hAnsi="Calibri" w:cs="Calibri"/>
                <w:color w:val="000000"/>
                <w:sz w:val="16"/>
                <w:szCs w:val="16"/>
              </w:rPr>
              <w:t>Продажа государственного имущества на аукционе</w:t>
            </w:r>
          </w:p>
        </w:tc>
        <w:tc>
          <w:tcPr>
            <w:tcW w:w="5244"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Нежилое здание (ветеринарная лечебница), лит. А, и земельный участок площадью 971,0 кв. м</w:t>
            </w:r>
          </w:p>
        </w:tc>
        <w:tc>
          <w:tcPr>
            <w:tcW w:w="2835"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Тула, Центральный район, пос. 2-й Западный, ул. Гоголевская, д. 29</w:t>
            </w:r>
          </w:p>
        </w:tc>
      </w:tr>
      <w:tr w:rsidR="007920D0" w:rsidRPr="00DF111B" w:rsidTr="005B2154">
        <w:trPr>
          <w:trHeight w:val="425"/>
        </w:trPr>
        <w:tc>
          <w:tcPr>
            <w:tcW w:w="445" w:type="dxa"/>
            <w:shd w:val="clear" w:color="auto" w:fill="auto"/>
            <w:vAlign w:val="center"/>
          </w:tcPr>
          <w:p w:rsidR="007920D0" w:rsidRPr="00DF111B" w:rsidRDefault="007920D0" w:rsidP="007920D0">
            <w:pPr>
              <w:rPr>
                <w:rFonts w:ascii="Calibri" w:hAnsi="Calibri" w:cs="Calibri"/>
                <w:color w:val="000000"/>
                <w:sz w:val="16"/>
                <w:szCs w:val="16"/>
              </w:rPr>
            </w:pPr>
            <w:r>
              <w:rPr>
                <w:rFonts w:ascii="Calibri" w:hAnsi="Calibri" w:cs="Calibri"/>
                <w:color w:val="000000"/>
                <w:sz w:val="16"/>
                <w:szCs w:val="16"/>
              </w:rPr>
              <w:t>10</w:t>
            </w:r>
          </w:p>
        </w:tc>
        <w:tc>
          <w:tcPr>
            <w:tcW w:w="2264" w:type="dxa"/>
            <w:shd w:val="clear" w:color="auto" w:fill="auto"/>
          </w:tcPr>
          <w:p w:rsidR="007920D0" w:rsidRDefault="007920D0" w:rsidP="007920D0">
            <w:r w:rsidRPr="00FC272E">
              <w:rPr>
                <w:rFonts w:ascii="Calibri" w:hAnsi="Calibri" w:cs="Calibri"/>
                <w:color w:val="000000"/>
                <w:sz w:val="16"/>
                <w:szCs w:val="16"/>
              </w:rPr>
              <w:t>Продажа государственного имущества на аукционе</w:t>
            </w:r>
          </w:p>
        </w:tc>
        <w:tc>
          <w:tcPr>
            <w:tcW w:w="5244"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Незавершенный строительный объект, лит. Б, и земельный участок площадью 2560,0 кв. м</w:t>
            </w:r>
          </w:p>
        </w:tc>
        <w:tc>
          <w:tcPr>
            <w:tcW w:w="2835"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г. Тула, Пролетарский район, шоссе </w:t>
            </w:r>
            <w:proofErr w:type="spellStart"/>
            <w:r w:rsidRPr="007920D0">
              <w:rPr>
                <w:rFonts w:ascii="Calibri" w:hAnsi="Calibri" w:cs="Calibri"/>
                <w:color w:val="000000"/>
                <w:sz w:val="16"/>
                <w:szCs w:val="16"/>
              </w:rPr>
              <w:t>Веневское</w:t>
            </w:r>
            <w:proofErr w:type="spellEnd"/>
            <w:r w:rsidRPr="007920D0">
              <w:rPr>
                <w:rFonts w:ascii="Calibri" w:hAnsi="Calibri" w:cs="Calibri"/>
                <w:color w:val="000000"/>
                <w:sz w:val="16"/>
                <w:szCs w:val="16"/>
              </w:rPr>
              <w:t>, д. 3-б</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F501F6" w:rsidRPr="00F501F6">
        <w:rPr>
          <w:rFonts w:ascii="Arial" w:hAnsi="Arial" w:cs="Arial"/>
          <w:i/>
          <w:sz w:val="20"/>
          <w:szCs w:val="20"/>
        </w:rPr>
        <w:t xml:space="preserve">В </w:t>
      </w:r>
      <w:r w:rsidR="00F501F6">
        <w:rPr>
          <w:rFonts w:ascii="Arial" w:hAnsi="Arial" w:cs="Arial"/>
          <w:i/>
          <w:sz w:val="20"/>
          <w:szCs w:val="20"/>
        </w:rPr>
        <w:t>прошедшем</w:t>
      </w:r>
      <w:r w:rsidR="00F501F6" w:rsidRPr="00F501F6">
        <w:rPr>
          <w:rFonts w:ascii="Arial" w:hAnsi="Arial" w:cs="Arial"/>
          <w:i/>
          <w:sz w:val="20"/>
          <w:szCs w:val="20"/>
        </w:rPr>
        <w:t xml:space="preserve"> году Тульская область поднялась в национальном инвестиционном рейтинге с 10-го на 4-е место. Сегодня можно уверенно говорить о том, что регион показывает открытое и эффективное взаимодействие с инвесторами</w:t>
      </w:r>
      <w:r w:rsidR="00F501F6">
        <w:rPr>
          <w:rFonts w:ascii="Arial" w:hAnsi="Arial" w:cs="Arial"/>
          <w:i/>
          <w:sz w:val="20"/>
          <w:szCs w:val="20"/>
        </w:rPr>
        <w:t>.</w:t>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Сектор </w:t>
      </w:r>
      <w:r w:rsidRPr="004E3EBF">
        <w:rPr>
          <w:rFonts w:ascii="Arial" w:hAnsi="Arial" w:cs="Arial"/>
          <w:i/>
          <w:color w:val="000000"/>
          <w:sz w:val="20"/>
          <w:szCs w:val="20"/>
        </w:rPr>
        <w:t>торговой</w:t>
      </w:r>
      <w:r w:rsidRPr="004E3EBF">
        <w:rPr>
          <w:rFonts w:ascii="Arial" w:hAnsi="Arial" w:cs="Arial"/>
          <w:color w:val="000000"/>
          <w:sz w:val="20"/>
          <w:szCs w:val="20"/>
        </w:rPr>
        <w:t xml:space="preserve"> </w:t>
      </w:r>
      <w:r w:rsidRPr="005978A9">
        <w:rPr>
          <w:rFonts w:ascii="Arial" w:hAnsi="Arial" w:cs="Arial"/>
          <w:color w:val="000000"/>
          <w:sz w:val="20"/>
          <w:szCs w:val="20"/>
        </w:rPr>
        <w:t xml:space="preserve">недвижимости развивается в Туле </w:t>
      </w:r>
      <w:r w:rsidR="00882F80" w:rsidRPr="005978A9">
        <w:rPr>
          <w:rFonts w:ascii="Arial" w:hAnsi="Arial" w:cs="Arial"/>
          <w:color w:val="000000"/>
          <w:sz w:val="20"/>
          <w:szCs w:val="20"/>
        </w:rPr>
        <w:t>достаточно</w:t>
      </w:r>
      <w:r w:rsidRPr="005978A9">
        <w:rPr>
          <w:rFonts w:ascii="Arial" w:hAnsi="Arial" w:cs="Arial"/>
          <w:color w:val="000000"/>
          <w:sz w:val="20"/>
          <w:szCs w:val="20"/>
        </w:rPr>
        <w:t xml:space="preserve"> активно. В городе присутствуют различные форматы объектов торговой недвижимости – салоны, магазины, супермаркеты, торговые центры, а также рынки.</w:t>
      </w:r>
    </w:p>
    <w:p w:rsidR="005978A9" w:rsidRDefault="005978A9"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Немалый</w:t>
      </w:r>
      <w:r w:rsidR="00257307" w:rsidRPr="005978A9">
        <w:rPr>
          <w:rFonts w:ascii="Arial" w:hAnsi="Arial" w:cs="Arial"/>
          <w:color w:val="000000"/>
          <w:sz w:val="20"/>
          <w:szCs w:val="20"/>
        </w:rPr>
        <w:t xml:space="preserve"> интерес к рынку коммерческой недвижимости проявляют крупные федеральные </w:t>
      </w:r>
      <w:proofErr w:type="spellStart"/>
      <w:r w:rsidR="00257307" w:rsidRPr="005978A9">
        <w:rPr>
          <w:rFonts w:ascii="Arial" w:hAnsi="Arial" w:cs="Arial"/>
          <w:color w:val="000000"/>
          <w:sz w:val="20"/>
          <w:szCs w:val="20"/>
        </w:rPr>
        <w:t>ритейл</w:t>
      </w:r>
      <w:r w:rsidRPr="005978A9">
        <w:rPr>
          <w:rFonts w:ascii="Arial" w:hAnsi="Arial" w:cs="Arial"/>
          <w:color w:val="000000"/>
          <w:sz w:val="20"/>
          <w:szCs w:val="20"/>
        </w:rPr>
        <w:t>еры</w:t>
      </w:r>
      <w:proofErr w:type="spellEnd"/>
      <w:r w:rsidRPr="005978A9">
        <w:rPr>
          <w:rFonts w:ascii="Arial" w:hAnsi="Arial" w:cs="Arial"/>
          <w:color w:val="000000"/>
          <w:sz w:val="20"/>
          <w:szCs w:val="20"/>
        </w:rPr>
        <w:t>. Здесь открыты магазины сетей</w:t>
      </w:r>
      <w:r w:rsidR="00257307" w:rsidRPr="005978A9">
        <w:rPr>
          <w:rFonts w:ascii="Arial" w:hAnsi="Arial" w:cs="Arial"/>
          <w:color w:val="000000"/>
          <w:sz w:val="20"/>
          <w:szCs w:val="20"/>
        </w:rPr>
        <w:t xml:space="preserve"> «</w:t>
      </w:r>
      <w:proofErr w:type="spellStart"/>
      <w:r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lastRenderedPageBreak/>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4"/>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257307" w:rsidRPr="005978A9">
        <w:rPr>
          <w:rFonts w:ascii="Arial" w:hAnsi="Arial" w:cs="Arial"/>
          <w:color w:val="000000"/>
          <w:sz w:val="20"/>
          <w:szCs w:val="20"/>
        </w:rPr>
        <w:t xml:space="preserve"> </w:t>
      </w:r>
      <w:r w:rsidR="00257307" w:rsidRPr="004E3EBF">
        <w:rPr>
          <w:rFonts w:ascii="Arial" w:hAnsi="Arial" w:cs="Arial"/>
          <w:b/>
          <w:i/>
          <w:color w:val="000000"/>
          <w:sz w:val="20"/>
          <w:szCs w:val="20"/>
        </w:rPr>
        <w:t>Офисная</w:t>
      </w:r>
      <w:r w:rsidR="00257307" w:rsidRPr="005978A9">
        <w:rPr>
          <w:rFonts w:ascii="Arial" w:hAnsi="Arial" w:cs="Arial"/>
          <w:color w:val="000000"/>
          <w:sz w:val="20"/>
          <w:szCs w:val="20"/>
        </w:rPr>
        <w:t xml:space="preserve"> недвижимость Тулы едва преодолела начальный этап своего развития. Преодоление стадии становления происходит медленными темпами.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5"/>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2D08AA" w:rsidTr="00F501F6">
        <w:trPr>
          <w:trHeight w:val="481"/>
          <w:jc w:val="center"/>
        </w:trPr>
        <w:tc>
          <w:tcPr>
            <w:tcW w:w="9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п/п</w:t>
            </w:r>
          </w:p>
        </w:tc>
        <w:tc>
          <w:tcPr>
            <w:tcW w:w="2296"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Муниципальное образование (район)</w:t>
            </w:r>
          </w:p>
        </w:tc>
        <w:tc>
          <w:tcPr>
            <w:tcW w:w="32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xml:space="preserve">Среднее значение удельного показателя стоимости, </w:t>
            </w:r>
            <w:proofErr w:type="spellStart"/>
            <w:r w:rsidRPr="002D08AA">
              <w:rPr>
                <w:rFonts w:ascii="Calibri" w:hAnsi="Calibri" w:cs="Calibri"/>
                <w:b/>
                <w:bCs/>
                <w:i/>
                <w:iCs/>
                <w:color w:val="000000"/>
                <w:sz w:val="20"/>
                <w:szCs w:val="20"/>
              </w:rPr>
              <w:t>руб</w:t>
            </w:r>
            <w:proofErr w:type="spellEnd"/>
            <w:r w:rsidRPr="002D08AA">
              <w:rPr>
                <w:rFonts w:ascii="Calibri" w:hAnsi="Calibri" w:cs="Calibri"/>
                <w:b/>
                <w:bCs/>
                <w:i/>
                <w:iCs/>
                <w:color w:val="000000"/>
                <w:sz w:val="20"/>
                <w:szCs w:val="20"/>
              </w:rPr>
              <w:t>/м2</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1</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Алексинский</w:t>
            </w:r>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7858</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2</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Белевский</w:t>
            </w:r>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59768</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3</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Богородицкий</w:t>
            </w:r>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21923</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4</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39142</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5</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Заокский</w:t>
            </w:r>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25723</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6</w:t>
            </w:r>
          </w:p>
        </w:tc>
        <w:tc>
          <w:tcPr>
            <w:tcW w:w="2296" w:type="dxa"/>
            <w:shd w:val="clear" w:color="auto" w:fill="auto"/>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62988</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7</w:t>
            </w:r>
          </w:p>
        </w:tc>
        <w:tc>
          <w:tcPr>
            <w:tcW w:w="2296" w:type="dxa"/>
            <w:shd w:val="clear" w:color="auto" w:fill="auto"/>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27465</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8</w:t>
            </w:r>
          </w:p>
        </w:tc>
        <w:tc>
          <w:tcPr>
            <w:tcW w:w="2296" w:type="dxa"/>
            <w:shd w:val="clear" w:color="auto" w:fill="auto"/>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Тула</w:t>
            </w:r>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74787</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9</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Узловский</w:t>
            </w:r>
            <w:proofErr w:type="spellEnd"/>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118467</w:t>
            </w:r>
          </w:p>
        </w:tc>
      </w:tr>
      <w:tr w:rsidR="00F501F6" w:rsidRPr="002D08AA" w:rsidTr="00F501F6">
        <w:trPr>
          <w:trHeight w:val="255"/>
          <w:jc w:val="center"/>
        </w:trPr>
        <w:tc>
          <w:tcPr>
            <w:tcW w:w="960" w:type="dxa"/>
            <w:shd w:val="clear" w:color="auto" w:fill="auto"/>
            <w:vAlign w:val="center"/>
            <w:hideMark/>
          </w:tcPr>
          <w:p w:rsidR="00F501F6" w:rsidRDefault="00F501F6" w:rsidP="00F501F6">
            <w:pPr>
              <w:jc w:val="center"/>
              <w:rPr>
                <w:rFonts w:ascii="Calibri" w:hAnsi="Calibri" w:cs="Calibri"/>
                <w:color w:val="000000"/>
                <w:sz w:val="20"/>
                <w:szCs w:val="20"/>
              </w:rPr>
            </w:pPr>
            <w:r>
              <w:rPr>
                <w:rFonts w:ascii="Calibri" w:hAnsi="Calibri" w:cs="Calibri"/>
                <w:color w:val="000000"/>
                <w:sz w:val="20"/>
                <w:szCs w:val="20"/>
              </w:rPr>
              <w:t>10</w:t>
            </w:r>
          </w:p>
        </w:tc>
        <w:tc>
          <w:tcPr>
            <w:tcW w:w="2296" w:type="dxa"/>
            <w:shd w:val="clear" w:color="auto" w:fill="auto"/>
            <w:noWrap/>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260"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52323</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F501F6"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6BC0EFED" wp14:editId="06AFEB3B">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4DB" w:rsidRDefault="00BA44DB" w:rsidP="00770FDD">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lastRenderedPageBreak/>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6"/>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01771C" w:rsidTr="00BE1105">
        <w:trPr>
          <w:trHeight w:val="596"/>
          <w:jc w:val="center"/>
        </w:trPr>
        <w:tc>
          <w:tcPr>
            <w:tcW w:w="95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44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65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1</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Алексинский</w:t>
            </w:r>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820</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2</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Белевский</w:t>
            </w:r>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250</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3</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530</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4</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250</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5</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461</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6</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Одоевский</w:t>
            </w:r>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354</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7</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r>
              <w:rPr>
                <w:rFonts w:ascii="Calibri" w:hAnsi="Calibri" w:cs="Calibri"/>
                <w:color w:val="000000"/>
                <w:sz w:val="22"/>
                <w:szCs w:val="22"/>
              </w:rPr>
              <w:t>Тула</w:t>
            </w:r>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889</w:t>
            </w:r>
          </w:p>
        </w:tc>
      </w:tr>
      <w:tr w:rsidR="00F501F6" w:rsidRPr="0001771C" w:rsidTr="00BE1105">
        <w:trPr>
          <w:trHeight w:val="255"/>
          <w:jc w:val="center"/>
        </w:trPr>
        <w:tc>
          <w:tcPr>
            <w:tcW w:w="959" w:type="dxa"/>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8</w:t>
            </w:r>
          </w:p>
        </w:tc>
        <w:tc>
          <w:tcPr>
            <w:tcW w:w="2443" w:type="dxa"/>
            <w:tcBorders>
              <w:top w:val="nil"/>
              <w:left w:val="nil"/>
              <w:bottom w:val="single" w:sz="8" w:space="0" w:color="auto"/>
              <w:right w:val="single" w:sz="8" w:space="0" w:color="auto"/>
            </w:tcBorders>
            <w:shd w:val="clear" w:color="auto" w:fill="auto"/>
            <w:vAlign w:val="center"/>
            <w:hideMark/>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884</w:t>
            </w:r>
          </w:p>
        </w:tc>
      </w:tr>
      <w:tr w:rsidR="00F501F6" w:rsidRPr="0001771C" w:rsidTr="00BE1105">
        <w:trPr>
          <w:trHeight w:val="255"/>
          <w:jc w:val="center"/>
        </w:trPr>
        <w:tc>
          <w:tcPr>
            <w:tcW w:w="959" w:type="dxa"/>
            <w:shd w:val="clear" w:color="auto" w:fill="auto"/>
            <w:vAlign w:val="center"/>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9</w:t>
            </w:r>
          </w:p>
        </w:tc>
        <w:tc>
          <w:tcPr>
            <w:tcW w:w="2443" w:type="dxa"/>
            <w:tcBorders>
              <w:top w:val="nil"/>
              <w:left w:val="nil"/>
              <w:bottom w:val="single" w:sz="8" w:space="0" w:color="auto"/>
              <w:right w:val="single" w:sz="8" w:space="0" w:color="auto"/>
            </w:tcBorders>
            <w:shd w:val="clear" w:color="auto" w:fill="auto"/>
            <w:vAlign w:val="center"/>
          </w:tcPr>
          <w:p w:rsidR="00F501F6" w:rsidRDefault="00F501F6" w:rsidP="00F501F6">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F501F6" w:rsidRDefault="00F501F6" w:rsidP="00F501F6">
            <w:pPr>
              <w:jc w:val="center"/>
              <w:rPr>
                <w:rFonts w:ascii="Calibri" w:hAnsi="Calibri" w:cs="Calibri"/>
                <w:color w:val="000000"/>
                <w:sz w:val="22"/>
                <w:szCs w:val="22"/>
              </w:rPr>
            </w:pPr>
            <w:r>
              <w:rPr>
                <w:rFonts w:ascii="Calibri" w:hAnsi="Calibri" w:cs="Calibri"/>
                <w:color w:val="000000"/>
                <w:sz w:val="22"/>
                <w:szCs w:val="22"/>
              </w:rPr>
              <w:t>957</w:t>
            </w:r>
          </w:p>
        </w:tc>
      </w:tr>
    </w:tbl>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BA44DB" w:rsidRDefault="00F501F6"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0EAEC101" wp14:editId="62392258">
            <wp:extent cx="4572000" cy="2316480"/>
            <wp:effectExtent l="0" t="0" r="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0662EC">
      <w:pPr>
        <w:pStyle w:val="a4"/>
        <w:spacing w:before="12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7"/>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01771C" w:rsidTr="00BE1105">
        <w:trPr>
          <w:trHeight w:val="477"/>
          <w:jc w:val="center"/>
        </w:trPr>
        <w:tc>
          <w:tcPr>
            <w:tcW w:w="94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09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555" w:type="dxa"/>
            <w:shd w:val="clear" w:color="auto" w:fill="auto"/>
            <w:vAlign w:val="center"/>
            <w:hideMark/>
          </w:tcPr>
          <w:p w:rsidR="0001771C" w:rsidRPr="0001771C" w:rsidRDefault="0001771C" w:rsidP="006A29C8">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p>
        </w:tc>
      </w:tr>
      <w:tr w:rsidR="00BE1105" w:rsidRPr="0001771C" w:rsidTr="00BE1105">
        <w:trPr>
          <w:trHeight w:val="255"/>
          <w:jc w:val="center"/>
        </w:trPr>
        <w:tc>
          <w:tcPr>
            <w:tcW w:w="949" w:type="dxa"/>
            <w:shd w:val="clear" w:color="auto" w:fill="auto"/>
            <w:vAlign w:val="center"/>
            <w:hideMark/>
          </w:tcPr>
          <w:p w:rsidR="00BE1105" w:rsidRDefault="00BE1105" w:rsidP="00BE1105">
            <w:pPr>
              <w:jc w:val="center"/>
              <w:rPr>
                <w:rFonts w:ascii="Calibri" w:hAnsi="Calibri" w:cs="Calibri"/>
                <w:color w:val="000000"/>
                <w:sz w:val="20"/>
                <w:szCs w:val="20"/>
              </w:rPr>
            </w:pPr>
            <w:r>
              <w:rPr>
                <w:rFonts w:ascii="Calibri" w:hAnsi="Calibri" w:cs="Calibri"/>
                <w:color w:val="000000"/>
                <w:sz w:val="20"/>
                <w:szCs w:val="20"/>
              </w:rPr>
              <w:t>1</w:t>
            </w:r>
          </w:p>
        </w:tc>
        <w:tc>
          <w:tcPr>
            <w:tcW w:w="2093" w:type="dxa"/>
            <w:shd w:val="clear" w:color="auto" w:fill="auto"/>
            <w:vAlign w:val="center"/>
            <w:hideMark/>
          </w:tcPr>
          <w:p w:rsidR="00BE1105" w:rsidRDefault="00BE1105" w:rsidP="00BE1105">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55" w:type="dxa"/>
            <w:shd w:val="clear" w:color="auto" w:fill="auto"/>
            <w:vAlign w:val="center"/>
            <w:hideMark/>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54 622</w:t>
            </w:r>
          </w:p>
        </w:tc>
      </w:tr>
      <w:tr w:rsidR="00BE1105" w:rsidRPr="0001771C" w:rsidTr="00BE1105">
        <w:trPr>
          <w:trHeight w:val="255"/>
          <w:jc w:val="center"/>
        </w:trPr>
        <w:tc>
          <w:tcPr>
            <w:tcW w:w="949" w:type="dxa"/>
            <w:shd w:val="clear" w:color="auto" w:fill="auto"/>
            <w:vAlign w:val="center"/>
            <w:hideMark/>
          </w:tcPr>
          <w:p w:rsidR="00BE1105" w:rsidRDefault="00BE1105" w:rsidP="00BE1105">
            <w:pPr>
              <w:jc w:val="center"/>
              <w:rPr>
                <w:rFonts w:ascii="Calibri" w:hAnsi="Calibri" w:cs="Calibri"/>
                <w:color w:val="000000"/>
                <w:sz w:val="20"/>
                <w:szCs w:val="20"/>
              </w:rPr>
            </w:pPr>
            <w:r>
              <w:rPr>
                <w:rFonts w:ascii="Calibri" w:hAnsi="Calibri" w:cs="Calibri"/>
                <w:color w:val="000000"/>
                <w:sz w:val="20"/>
                <w:szCs w:val="20"/>
              </w:rPr>
              <w:t>2</w:t>
            </w:r>
          </w:p>
        </w:tc>
        <w:tc>
          <w:tcPr>
            <w:tcW w:w="2093" w:type="dxa"/>
            <w:shd w:val="clear" w:color="auto" w:fill="auto"/>
            <w:vAlign w:val="center"/>
            <w:hideMark/>
          </w:tcPr>
          <w:p w:rsidR="00BE1105" w:rsidRDefault="00BE1105" w:rsidP="00BE1105">
            <w:pPr>
              <w:rPr>
                <w:rFonts w:ascii="Calibri" w:hAnsi="Calibri" w:cs="Calibri"/>
                <w:color w:val="000000"/>
                <w:sz w:val="22"/>
                <w:szCs w:val="22"/>
              </w:rPr>
            </w:pPr>
            <w:r>
              <w:rPr>
                <w:rFonts w:ascii="Calibri" w:hAnsi="Calibri" w:cs="Calibri"/>
                <w:color w:val="000000"/>
                <w:sz w:val="22"/>
                <w:szCs w:val="22"/>
              </w:rPr>
              <w:t>Суворовский</w:t>
            </w:r>
          </w:p>
        </w:tc>
        <w:tc>
          <w:tcPr>
            <w:tcW w:w="3555" w:type="dxa"/>
            <w:shd w:val="clear" w:color="auto" w:fill="auto"/>
            <w:vAlign w:val="center"/>
            <w:hideMark/>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4 803</w:t>
            </w:r>
          </w:p>
        </w:tc>
      </w:tr>
      <w:tr w:rsidR="00BE1105" w:rsidRPr="0001771C" w:rsidTr="00BE1105">
        <w:trPr>
          <w:trHeight w:val="255"/>
          <w:jc w:val="center"/>
        </w:trPr>
        <w:tc>
          <w:tcPr>
            <w:tcW w:w="949" w:type="dxa"/>
            <w:shd w:val="clear" w:color="auto" w:fill="auto"/>
            <w:vAlign w:val="center"/>
            <w:hideMark/>
          </w:tcPr>
          <w:p w:rsidR="00BE1105" w:rsidRDefault="00BE1105" w:rsidP="00BE1105">
            <w:pPr>
              <w:jc w:val="center"/>
              <w:rPr>
                <w:rFonts w:ascii="Calibri" w:hAnsi="Calibri" w:cs="Calibri"/>
                <w:color w:val="000000"/>
                <w:sz w:val="20"/>
                <w:szCs w:val="20"/>
              </w:rPr>
            </w:pPr>
            <w:r>
              <w:rPr>
                <w:rFonts w:ascii="Calibri" w:hAnsi="Calibri" w:cs="Calibri"/>
                <w:color w:val="000000"/>
                <w:sz w:val="20"/>
                <w:szCs w:val="20"/>
              </w:rPr>
              <w:t>3</w:t>
            </w:r>
          </w:p>
        </w:tc>
        <w:tc>
          <w:tcPr>
            <w:tcW w:w="2093" w:type="dxa"/>
            <w:shd w:val="clear" w:color="auto" w:fill="auto"/>
            <w:vAlign w:val="center"/>
            <w:hideMark/>
          </w:tcPr>
          <w:p w:rsidR="00BE1105" w:rsidRDefault="00BE1105" w:rsidP="00BE1105">
            <w:pPr>
              <w:rPr>
                <w:rFonts w:ascii="Calibri" w:hAnsi="Calibri" w:cs="Calibri"/>
                <w:color w:val="000000"/>
                <w:sz w:val="22"/>
                <w:szCs w:val="22"/>
              </w:rPr>
            </w:pPr>
            <w:r>
              <w:rPr>
                <w:rFonts w:ascii="Calibri" w:hAnsi="Calibri" w:cs="Calibri"/>
                <w:color w:val="000000"/>
                <w:sz w:val="22"/>
                <w:szCs w:val="22"/>
              </w:rPr>
              <w:t>Тула</w:t>
            </w:r>
          </w:p>
        </w:tc>
        <w:tc>
          <w:tcPr>
            <w:tcW w:w="3555" w:type="dxa"/>
            <w:shd w:val="clear" w:color="auto" w:fill="auto"/>
            <w:vAlign w:val="center"/>
            <w:hideMark/>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44 065</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BE1105"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26906D63" wp14:editId="48DF71DB">
            <wp:extent cx="4572000" cy="19126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lastRenderedPageBreak/>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799" w:type="dxa"/>
        <w:jc w:val="center"/>
        <w:tblLook w:val="04A0" w:firstRow="1" w:lastRow="0" w:firstColumn="1" w:lastColumn="0" w:noHBand="0" w:noVBand="1"/>
      </w:tblPr>
      <w:tblGrid>
        <w:gridCol w:w="960"/>
        <w:gridCol w:w="2296"/>
        <w:gridCol w:w="3543"/>
      </w:tblGrid>
      <w:tr w:rsidR="00B42CCA" w:rsidRPr="00B42CCA" w:rsidTr="00BE1105">
        <w:trPr>
          <w:trHeight w:val="45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п/п</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Муниципальное образование (район)</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xml:space="preserve">Среднее значение удельного показателя стоимости, </w:t>
            </w:r>
            <w:proofErr w:type="spellStart"/>
            <w:r w:rsidRPr="00B42CCA">
              <w:rPr>
                <w:rFonts w:ascii="Calibri" w:hAnsi="Calibri" w:cs="Calibri"/>
                <w:b/>
                <w:bCs/>
                <w:i/>
                <w:iCs/>
                <w:color w:val="000000"/>
                <w:sz w:val="20"/>
                <w:szCs w:val="20"/>
              </w:rPr>
              <w:t>руб</w:t>
            </w:r>
            <w:proofErr w:type="spellEnd"/>
            <w:r w:rsidRPr="00B42CCA">
              <w:rPr>
                <w:rFonts w:ascii="Calibri" w:hAnsi="Calibri" w:cs="Calibri"/>
                <w:b/>
                <w:bCs/>
                <w:i/>
                <w:iCs/>
                <w:color w:val="000000"/>
                <w:sz w:val="20"/>
                <w:szCs w:val="20"/>
              </w:rPr>
              <w:t>/м</w:t>
            </w:r>
            <w:r w:rsidRPr="00B42CCA">
              <w:rPr>
                <w:rFonts w:ascii="Calibri" w:hAnsi="Calibri" w:cs="Calibri"/>
                <w:b/>
                <w:bCs/>
                <w:i/>
                <w:iCs/>
                <w:color w:val="000000"/>
                <w:sz w:val="20"/>
                <w:szCs w:val="20"/>
                <w:vertAlign w:val="superscript"/>
              </w:rPr>
              <w:t>2</w:t>
            </w:r>
            <w:r w:rsidRPr="00B42CCA">
              <w:rPr>
                <w:rFonts w:ascii="Calibri" w:hAnsi="Calibri" w:cs="Calibri"/>
                <w:b/>
                <w:bCs/>
                <w:i/>
                <w:iCs/>
                <w:color w:val="000000"/>
                <w:sz w:val="20"/>
                <w:szCs w:val="20"/>
              </w:rPr>
              <w:t>/</w:t>
            </w:r>
            <w:proofErr w:type="spellStart"/>
            <w:r w:rsidRPr="00B42CCA">
              <w:rPr>
                <w:rFonts w:ascii="Calibri" w:hAnsi="Calibri" w:cs="Calibri"/>
                <w:b/>
                <w:bCs/>
                <w:i/>
                <w:iCs/>
                <w:color w:val="000000"/>
                <w:sz w:val="20"/>
                <w:szCs w:val="20"/>
              </w:rPr>
              <w:t>мес</w:t>
            </w:r>
            <w:proofErr w:type="spellEnd"/>
          </w:p>
        </w:tc>
      </w:tr>
      <w:tr w:rsidR="00BE1105" w:rsidRPr="00B42CCA" w:rsidTr="00BE1105">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1</w:t>
            </w:r>
          </w:p>
        </w:tc>
        <w:tc>
          <w:tcPr>
            <w:tcW w:w="2296" w:type="dxa"/>
            <w:tcBorders>
              <w:top w:val="nil"/>
              <w:left w:val="nil"/>
              <w:bottom w:val="single" w:sz="8" w:space="0" w:color="auto"/>
              <w:right w:val="single" w:sz="8" w:space="0" w:color="auto"/>
            </w:tcBorders>
            <w:shd w:val="clear" w:color="auto" w:fill="auto"/>
            <w:vAlign w:val="center"/>
            <w:hideMark/>
          </w:tcPr>
          <w:p w:rsidR="00BE1105" w:rsidRDefault="00BE1105" w:rsidP="00BE1105">
            <w:pPr>
              <w:rPr>
                <w:rFonts w:ascii="Calibri" w:hAnsi="Calibri" w:cs="Calibri"/>
                <w:color w:val="000000"/>
                <w:sz w:val="22"/>
                <w:szCs w:val="22"/>
              </w:rPr>
            </w:pPr>
            <w:r>
              <w:rPr>
                <w:rFonts w:ascii="Calibri" w:hAnsi="Calibri" w:cs="Calibri"/>
                <w:color w:val="000000"/>
                <w:sz w:val="22"/>
                <w:szCs w:val="22"/>
              </w:rPr>
              <w:t>Тула</w:t>
            </w:r>
          </w:p>
        </w:tc>
        <w:tc>
          <w:tcPr>
            <w:tcW w:w="3543" w:type="dxa"/>
            <w:tcBorders>
              <w:top w:val="nil"/>
              <w:left w:val="nil"/>
              <w:bottom w:val="single" w:sz="8" w:space="0" w:color="auto"/>
              <w:right w:val="single" w:sz="8" w:space="0" w:color="auto"/>
            </w:tcBorders>
            <w:shd w:val="clear" w:color="auto" w:fill="auto"/>
            <w:vAlign w:val="center"/>
            <w:hideMark/>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565</w:t>
            </w:r>
          </w:p>
        </w:tc>
      </w:tr>
      <w:tr w:rsidR="00BE1105" w:rsidRPr="00B42CCA" w:rsidTr="00BE1105">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2</w:t>
            </w:r>
          </w:p>
        </w:tc>
        <w:tc>
          <w:tcPr>
            <w:tcW w:w="2296" w:type="dxa"/>
            <w:tcBorders>
              <w:top w:val="nil"/>
              <w:left w:val="nil"/>
              <w:bottom w:val="single" w:sz="8" w:space="0" w:color="auto"/>
              <w:right w:val="single" w:sz="8" w:space="0" w:color="auto"/>
            </w:tcBorders>
            <w:shd w:val="clear" w:color="auto" w:fill="auto"/>
            <w:vAlign w:val="center"/>
          </w:tcPr>
          <w:p w:rsidR="00BE1105" w:rsidRDefault="00BE1105" w:rsidP="00BE1105">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BE1105" w:rsidRDefault="00BE1105" w:rsidP="00BE1105">
            <w:pPr>
              <w:jc w:val="center"/>
              <w:rPr>
                <w:rFonts w:ascii="Calibri" w:hAnsi="Calibri" w:cs="Calibri"/>
                <w:color w:val="000000"/>
                <w:sz w:val="22"/>
                <w:szCs w:val="22"/>
              </w:rPr>
            </w:pPr>
            <w:r>
              <w:rPr>
                <w:rFonts w:ascii="Calibri" w:hAnsi="Calibri" w:cs="Calibri"/>
                <w:color w:val="000000"/>
                <w:sz w:val="22"/>
                <w:szCs w:val="22"/>
              </w:rPr>
              <w:t>154</w:t>
            </w:r>
          </w:p>
        </w:tc>
      </w:tr>
    </w:tbl>
    <w:p w:rsidR="00770FDD" w:rsidRDefault="0010443A" w:rsidP="002D08AA">
      <w:pPr>
        <w:pStyle w:val="a4"/>
        <w:spacing w:before="24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BE1105"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70294063" wp14:editId="57CB81A5">
            <wp:extent cx="4572000" cy="2125980"/>
            <wp:effectExtent l="0" t="0" r="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это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9"/>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770FDD" w:rsidTr="0010443A">
        <w:trPr>
          <w:trHeight w:val="581"/>
          <w:jc w:val="center"/>
        </w:trPr>
        <w:tc>
          <w:tcPr>
            <w:tcW w:w="76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п/п</w:t>
            </w:r>
          </w:p>
        </w:tc>
        <w:tc>
          <w:tcPr>
            <w:tcW w:w="208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Муниципальное образование (район)</w:t>
            </w:r>
          </w:p>
        </w:tc>
        <w:tc>
          <w:tcPr>
            <w:tcW w:w="326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xml:space="preserve">Среднее значение удельного показателя стоимости, </w:t>
            </w:r>
            <w:proofErr w:type="spellStart"/>
            <w:r w:rsidRPr="00770FDD">
              <w:rPr>
                <w:rFonts w:asciiTheme="minorHAnsi" w:hAnsiTheme="minorHAnsi" w:cstheme="minorHAnsi"/>
                <w:b/>
                <w:bCs/>
                <w:i/>
                <w:iCs/>
                <w:color w:val="000000"/>
                <w:sz w:val="20"/>
                <w:szCs w:val="20"/>
              </w:rPr>
              <w:t>руб</w:t>
            </w:r>
            <w:proofErr w:type="spellEnd"/>
            <w:r w:rsidRPr="00770FDD">
              <w:rPr>
                <w:rFonts w:asciiTheme="minorHAnsi" w:hAnsiTheme="minorHAnsi" w:cstheme="minorHAnsi"/>
                <w:b/>
                <w:bCs/>
                <w:i/>
                <w:iCs/>
                <w:color w:val="000000"/>
                <w:sz w:val="20"/>
                <w:szCs w:val="20"/>
              </w:rPr>
              <w:t>/м</w:t>
            </w:r>
            <w:r w:rsidRPr="00770FDD">
              <w:rPr>
                <w:rFonts w:asciiTheme="minorHAnsi" w:hAnsiTheme="minorHAnsi" w:cstheme="minorHAnsi"/>
                <w:b/>
                <w:bCs/>
                <w:i/>
                <w:iCs/>
                <w:color w:val="000000"/>
                <w:sz w:val="20"/>
                <w:szCs w:val="20"/>
                <w:vertAlign w:val="superscript"/>
              </w:rPr>
              <w:t>2</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Алексинский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5 655</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2</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Белевский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3 983</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3</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Веневский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16 000</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4</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Донской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5 915</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5</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Дубенский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9 514</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6</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Ефремовский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3 571</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7</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Каменский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4 200</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8</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Кимовский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2 308</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9</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Киреевский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13 728</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10</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Ленинский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9 308</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11</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Новомосковский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14 561</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12</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Одоевский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2 553</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13</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Плавский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11 984</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14</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Суворовский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4 633</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15</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Тула</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17 527</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16</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Узловской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5 215</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17</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Щекинский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8 961</w:t>
            </w:r>
          </w:p>
        </w:tc>
      </w:tr>
    </w:tbl>
    <w:p w:rsidR="00BE1105" w:rsidRDefault="00BE110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p>
    <w:p w:rsidR="00BE1105" w:rsidRDefault="00BE110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p>
    <w:p w:rsidR="00BE1105" w:rsidRDefault="00BE110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p>
    <w:p w:rsidR="00BE1105" w:rsidRDefault="00BE110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p>
    <w:p w:rsidR="00897A58" w:rsidRDefault="0010443A"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6D2535" w:rsidRPr="001C4BBA">
        <w:rPr>
          <w:rFonts w:asciiTheme="minorHAnsi" w:hAnsiTheme="minorHAnsi" w:cstheme="minorHAnsi"/>
          <w:b/>
          <w:i/>
          <w:sz w:val="22"/>
          <w:szCs w:val="22"/>
        </w:rPr>
        <w:t xml:space="preserve"> </w:t>
      </w:r>
      <w:r>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BE110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4DCAA415" wp14:editId="59DD80F0">
            <wp:extent cx="4572000" cy="29337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0"/>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091D6E" w:rsidTr="00A3013B">
        <w:trPr>
          <w:trHeight w:val="523"/>
          <w:jc w:val="center"/>
        </w:trPr>
        <w:tc>
          <w:tcPr>
            <w:tcW w:w="960"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п/п</w:t>
            </w:r>
          </w:p>
        </w:tc>
        <w:tc>
          <w:tcPr>
            <w:tcW w:w="2448"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Муниципальное образование (район)</w:t>
            </w:r>
          </w:p>
        </w:tc>
        <w:tc>
          <w:tcPr>
            <w:tcW w:w="3686"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xml:space="preserve">Среднее значение удельного показателя стоимости, </w:t>
            </w:r>
            <w:proofErr w:type="spellStart"/>
            <w:r w:rsidRPr="00091D6E">
              <w:rPr>
                <w:rFonts w:ascii="Calibri" w:hAnsi="Calibri" w:cs="Calibri"/>
                <w:b/>
                <w:bCs/>
                <w:i/>
                <w:iCs/>
                <w:color w:val="000000"/>
                <w:sz w:val="20"/>
                <w:szCs w:val="20"/>
              </w:rPr>
              <w:t>руб</w:t>
            </w:r>
            <w:proofErr w:type="spellEnd"/>
            <w:r w:rsidRPr="00091D6E">
              <w:rPr>
                <w:rFonts w:ascii="Calibri" w:hAnsi="Calibri" w:cs="Calibri"/>
                <w:b/>
                <w:bCs/>
                <w:i/>
                <w:iCs/>
                <w:color w:val="000000"/>
                <w:sz w:val="20"/>
                <w:szCs w:val="20"/>
              </w:rPr>
              <w:t>/м</w:t>
            </w:r>
            <w:r w:rsidRPr="00091D6E">
              <w:rPr>
                <w:rFonts w:ascii="Calibri" w:hAnsi="Calibri" w:cs="Calibri"/>
                <w:b/>
                <w:bCs/>
                <w:i/>
                <w:iCs/>
                <w:color w:val="000000"/>
                <w:sz w:val="20"/>
                <w:szCs w:val="20"/>
                <w:vertAlign w:val="superscript"/>
              </w:rPr>
              <w:t>2</w:t>
            </w:r>
            <w:r w:rsidRPr="00091D6E">
              <w:rPr>
                <w:rFonts w:ascii="Calibri" w:hAnsi="Calibri" w:cs="Calibri"/>
                <w:b/>
                <w:bCs/>
                <w:i/>
                <w:iCs/>
                <w:color w:val="000000"/>
                <w:sz w:val="20"/>
                <w:szCs w:val="20"/>
              </w:rPr>
              <w:t>/</w:t>
            </w:r>
            <w:proofErr w:type="spellStart"/>
            <w:r w:rsidRPr="00091D6E">
              <w:rPr>
                <w:rFonts w:ascii="Calibri" w:hAnsi="Calibri" w:cs="Calibri"/>
                <w:b/>
                <w:bCs/>
                <w:i/>
                <w:iCs/>
                <w:color w:val="000000"/>
                <w:sz w:val="20"/>
                <w:szCs w:val="20"/>
              </w:rPr>
              <w:t>мес</w:t>
            </w:r>
            <w:proofErr w:type="spellEnd"/>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1</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206</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2</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150</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3</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r>
              <w:rPr>
                <w:rFonts w:ascii="Calibri" w:hAnsi="Calibri" w:cs="Calibri"/>
                <w:color w:val="000000"/>
                <w:sz w:val="22"/>
                <w:szCs w:val="22"/>
              </w:rPr>
              <w:t>Заокский</w:t>
            </w:r>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65</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4</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100</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5</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r>
              <w:rPr>
                <w:rFonts w:ascii="Calibri" w:hAnsi="Calibri" w:cs="Calibri"/>
                <w:color w:val="000000"/>
                <w:sz w:val="22"/>
                <w:szCs w:val="22"/>
              </w:rPr>
              <w:t>Киреевский</w:t>
            </w:r>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118</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6</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r>
              <w:rPr>
                <w:rFonts w:ascii="Calibri" w:hAnsi="Calibri" w:cs="Calibri"/>
                <w:color w:val="000000"/>
                <w:sz w:val="22"/>
                <w:szCs w:val="22"/>
              </w:rPr>
              <w:t>Ленинский</w:t>
            </w:r>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139</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7</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131</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8</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r>
              <w:rPr>
                <w:rFonts w:ascii="Calibri" w:hAnsi="Calibri" w:cs="Calibri"/>
                <w:color w:val="000000"/>
                <w:sz w:val="22"/>
                <w:szCs w:val="22"/>
              </w:rPr>
              <w:t>Тула</w:t>
            </w:r>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202</w:t>
            </w:r>
          </w:p>
        </w:tc>
      </w:tr>
      <w:tr w:rsidR="00A3013B" w:rsidRPr="00091D6E" w:rsidTr="00A3013B">
        <w:trPr>
          <w:trHeight w:val="255"/>
          <w:jc w:val="center"/>
        </w:trPr>
        <w:tc>
          <w:tcPr>
            <w:tcW w:w="960" w:type="dxa"/>
            <w:shd w:val="clear" w:color="auto" w:fill="auto"/>
            <w:vAlign w:val="center"/>
            <w:hideMark/>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9</w:t>
            </w:r>
          </w:p>
        </w:tc>
        <w:tc>
          <w:tcPr>
            <w:tcW w:w="2448" w:type="dxa"/>
            <w:shd w:val="clear" w:color="auto" w:fill="auto"/>
            <w:vAlign w:val="center"/>
            <w:hideMark/>
          </w:tcPr>
          <w:p w:rsidR="00A3013B" w:rsidRDefault="00A3013B" w:rsidP="00A3013B">
            <w:pPr>
              <w:rPr>
                <w:rFonts w:ascii="Calibri" w:hAnsi="Calibri" w:cs="Calibri"/>
                <w:color w:val="000000"/>
                <w:sz w:val="22"/>
                <w:szCs w:val="22"/>
              </w:rPr>
            </w:pPr>
            <w:proofErr w:type="spellStart"/>
            <w:r>
              <w:rPr>
                <w:rFonts w:ascii="Calibri" w:hAnsi="Calibri" w:cs="Calibri"/>
                <w:color w:val="000000"/>
                <w:sz w:val="22"/>
                <w:szCs w:val="22"/>
              </w:rPr>
              <w:t>Узловский</w:t>
            </w:r>
            <w:proofErr w:type="spellEnd"/>
          </w:p>
        </w:tc>
        <w:tc>
          <w:tcPr>
            <w:tcW w:w="3686" w:type="dxa"/>
            <w:shd w:val="clear" w:color="auto" w:fill="auto"/>
            <w:vAlign w:val="center"/>
            <w:hideMark/>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164</w:t>
            </w:r>
          </w:p>
        </w:tc>
      </w:tr>
      <w:tr w:rsidR="00A3013B" w:rsidRPr="00091D6E" w:rsidTr="00A3013B">
        <w:trPr>
          <w:trHeight w:val="255"/>
          <w:jc w:val="center"/>
        </w:trPr>
        <w:tc>
          <w:tcPr>
            <w:tcW w:w="960" w:type="dxa"/>
            <w:shd w:val="clear" w:color="auto" w:fill="auto"/>
            <w:vAlign w:val="center"/>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10</w:t>
            </w:r>
          </w:p>
        </w:tc>
        <w:tc>
          <w:tcPr>
            <w:tcW w:w="2448" w:type="dxa"/>
            <w:shd w:val="clear" w:color="auto" w:fill="auto"/>
            <w:vAlign w:val="center"/>
          </w:tcPr>
          <w:p w:rsidR="00A3013B" w:rsidRDefault="00A3013B" w:rsidP="00A3013B">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86" w:type="dxa"/>
            <w:shd w:val="clear" w:color="auto" w:fill="auto"/>
            <w:vAlign w:val="center"/>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184</w:t>
            </w:r>
          </w:p>
        </w:tc>
      </w:tr>
      <w:tr w:rsidR="00A3013B" w:rsidRPr="00091D6E" w:rsidTr="00A3013B">
        <w:trPr>
          <w:trHeight w:val="255"/>
          <w:jc w:val="center"/>
        </w:trPr>
        <w:tc>
          <w:tcPr>
            <w:tcW w:w="960" w:type="dxa"/>
            <w:shd w:val="clear" w:color="auto" w:fill="auto"/>
            <w:vAlign w:val="center"/>
          </w:tcPr>
          <w:p w:rsidR="00A3013B" w:rsidRDefault="00A3013B" w:rsidP="00A3013B">
            <w:pPr>
              <w:jc w:val="center"/>
              <w:rPr>
                <w:rFonts w:ascii="Calibri" w:hAnsi="Calibri" w:cs="Calibri"/>
                <w:color w:val="000000"/>
                <w:sz w:val="20"/>
                <w:szCs w:val="20"/>
              </w:rPr>
            </w:pPr>
            <w:r>
              <w:rPr>
                <w:rFonts w:ascii="Calibri" w:hAnsi="Calibri" w:cs="Calibri"/>
                <w:color w:val="000000"/>
                <w:sz w:val="20"/>
                <w:szCs w:val="20"/>
              </w:rPr>
              <w:t>11</w:t>
            </w:r>
          </w:p>
        </w:tc>
        <w:tc>
          <w:tcPr>
            <w:tcW w:w="2448" w:type="dxa"/>
            <w:shd w:val="clear" w:color="auto" w:fill="auto"/>
            <w:vAlign w:val="center"/>
          </w:tcPr>
          <w:p w:rsidR="00A3013B" w:rsidRDefault="00A3013B" w:rsidP="00A3013B">
            <w:pPr>
              <w:rPr>
                <w:rFonts w:ascii="Calibri" w:hAnsi="Calibri" w:cs="Calibri"/>
                <w:color w:val="000000"/>
                <w:sz w:val="22"/>
                <w:szCs w:val="22"/>
              </w:rPr>
            </w:pPr>
            <w:r>
              <w:rPr>
                <w:rFonts w:ascii="Calibri" w:hAnsi="Calibri" w:cs="Calibri"/>
                <w:color w:val="000000"/>
                <w:sz w:val="22"/>
                <w:szCs w:val="22"/>
              </w:rPr>
              <w:t>Ясногорский</w:t>
            </w:r>
          </w:p>
        </w:tc>
        <w:tc>
          <w:tcPr>
            <w:tcW w:w="3686" w:type="dxa"/>
            <w:shd w:val="clear" w:color="auto" w:fill="auto"/>
            <w:vAlign w:val="center"/>
          </w:tcPr>
          <w:p w:rsidR="00A3013B" w:rsidRDefault="00A3013B" w:rsidP="00A3013B">
            <w:pPr>
              <w:jc w:val="center"/>
              <w:rPr>
                <w:rFonts w:ascii="Calibri" w:hAnsi="Calibri" w:cs="Calibri"/>
                <w:color w:val="000000"/>
                <w:sz w:val="22"/>
                <w:szCs w:val="22"/>
              </w:rPr>
            </w:pPr>
            <w:r>
              <w:rPr>
                <w:rFonts w:ascii="Calibri" w:hAnsi="Calibri" w:cs="Calibri"/>
                <w:color w:val="000000"/>
                <w:sz w:val="22"/>
                <w:szCs w:val="22"/>
              </w:rPr>
              <w:t>80</w:t>
            </w:r>
          </w:p>
        </w:tc>
      </w:tr>
    </w:tbl>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A3013B"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77B353A4" wp14:editId="69A54E7B">
            <wp:extent cx="4572000" cy="2377440"/>
            <wp:effectExtent l="0" t="0" r="0"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lastRenderedPageBreak/>
        <w:tab/>
        <w:t>По количеству</w:t>
      </w:r>
      <w:r w:rsidRPr="00BE4D39">
        <w:rPr>
          <w:rFonts w:ascii="Arial" w:hAnsi="Arial" w:cs="Arial"/>
          <w:sz w:val="20"/>
          <w:szCs w:val="20"/>
        </w:rPr>
        <w:t xml:space="preserve"> </w:t>
      </w:r>
      <w:r>
        <w:rPr>
          <w:rFonts w:ascii="Arial" w:hAnsi="Arial" w:cs="Arial"/>
          <w:sz w:val="20"/>
          <w:szCs w:val="20"/>
        </w:rPr>
        <w:t xml:space="preserve">предложений в секторе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C73F7F">
        <w:rPr>
          <w:rFonts w:ascii="Arial" w:hAnsi="Arial" w:cs="Arial"/>
          <w:sz w:val="20"/>
          <w:szCs w:val="20"/>
        </w:rPr>
        <w:t>215</w:t>
      </w:r>
      <w:r>
        <w:rPr>
          <w:rFonts w:ascii="Arial" w:hAnsi="Arial" w:cs="Arial"/>
          <w:sz w:val="20"/>
          <w:szCs w:val="20"/>
        </w:rPr>
        <w:t>/</w:t>
      </w:r>
      <w:r w:rsidR="00C73F7F">
        <w:rPr>
          <w:rFonts w:ascii="Arial" w:hAnsi="Arial" w:cs="Arial"/>
          <w:sz w:val="20"/>
          <w:szCs w:val="20"/>
        </w:rPr>
        <w:t>522</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C73F7F">
        <w:rPr>
          <w:rFonts w:ascii="Arial" w:hAnsi="Arial" w:cs="Arial"/>
          <w:sz w:val="20"/>
          <w:szCs w:val="20"/>
        </w:rPr>
        <w:t>71</w:t>
      </w:r>
      <w:r>
        <w:rPr>
          <w:rFonts w:ascii="Arial" w:hAnsi="Arial" w:cs="Arial"/>
          <w:sz w:val="20"/>
          <w:szCs w:val="20"/>
        </w:rPr>
        <w:t>/</w:t>
      </w:r>
      <w:r w:rsidR="00C73F7F">
        <w:rPr>
          <w:rFonts w:ascii="Arial" w:hAnsi="Arial" w:cs="Arial"/>
          <w:sz w:val="20"/>
          <w:szCs w:val="20"/>
        </w:rPr>
        <w:t>306</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5B7F9E">
        <w:rPr>
          <w:rFonts w:ascii="Arial" w:hAnsi="Arial" w:cs="Arial"/>
          <w:sz w:val="20"/>
          <w:szCs w:val="20"/>
        </w:rPr>
        <w:t>1</w:t>
      </w:r>
      <w:r w:rsidR="00C73F7F">
        <w:rPr>
          <w:rFonts w:ascii="Arial" w:hAnsi="Arial" w:cs="Arial"/>
          <w:sz w:val="20"/>
          <w:szCs w:val="20"/>
        </w:rPr>
        <w:t>18</w:t>
      </w:r>
      <w:r>
        <w:rPr>
          <w:rFonts w:ascii="Arial" w:hAnsi="Arial" w:cs="Arial"/>
          <w:sz w:val="20"/>
          <w:szCs w:val="20"/>
        </w:rPr>
        <w:t>/</w:t>
      </w:r>
      <w:r w:rsidR="00C73F7F">
        <w:rPr>
          <w:rFonts w:ascii="Arial" w:hAnsi="Arial" w:cs="Arial"/>
          <w:sz w:val="20"/>
          <w:szCs w:val="20"/>
        </w:rPr>
        <w:t>306</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получать более-менее стабильный доход единовременной выгоде от продажи объектов.</w:t>
      </w:r>
    </w:p>
    <w:p w:rsidR="002943BF" w:rsidRPr="00F25DE9"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 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1"/>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2"/>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lastRenderedPageBreak/>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Pr="00D6027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01.01.2018 составила 2567,9 тыс. га, в том числе сельхозугодий 1972,9 тыс. га, пашни 1554,4 тыс. га, залежи 7,6 тыс. га, многолетних насаждений 45 тыс. га, сенокосов 67,9 тыс. га, пастбищ 298 тыс. га.</w:t>
      </w: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t>Схема административного деления Тульской области</w:t>
      </w:r>
      <w:r>
        <w:rPr>
          <w:rStyle w:val="af3"/>
          <w:rFonts w:ascii="Arial" w:hAnsi="Arial" w:cs="Arial"/>
          <w:b/>
          <w:i/>
          <w:color w:val="000000"/>
        </w:rPr>
        <w:footnoteReference w:id="13"/>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4640580" cy="423841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4083" cy="4250748"/>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4"/>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B97CC1" w:rsidTr="00632133">
        <w:trPr>
          <w:trHeight w:val="403"/>
          <w:jc w:val="center"/>
        </w:trPr>
        <w:tc>
          <w:tcPr>
            <w:tcW w:w="900"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п/п</w:t>
            </w:r>
          </w:p>
        </w:tc>
        <w:tc>
          <w:tcPr>
            <w:tcW w:w="2745"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Муниципальное образование (район)</w:t>
            </w:r>
          </w:p>
        </w:tc>
        <w:tc>
          <w:tcPr>
            <w:tcW w:w="3337"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xml:space="preserve">Среднее значение удельного показателя стоимости, </w:t>
            </w:r>
            <w:proofErr w:type="spellStart"/>
            <w:r w:rsidRPr="00B97CC1">
              <w:rPr>
                <w:rFonts w:ascii="Calibri" w:hAnsi="Calibri" w:cs="Calibri"/>
                <w:b/>
                <w:bCs/>
                <w:i/>
                <w:iCs/>
                <w:color w:val="000000"/>
                <w:sz w:val="20"/>
                <w:szCs w:val="20"/>
              </w:rPr>
              <w:t>руб</w:t>
            </w:r>
            <w:proofErr w:type="spellEnd"/>
            <w:r w:rsidRPr="00B97CC1">
              <w:rPr>
                <w:rFonts w:ascii="Calibri" w:hAnsi="Calibri" w:cs="Calibri"/>
                <w:b/>
                <w:bCs/>
                <w:i/>
                <w:iCs/>
                <w:color w:val="000000"/>
                <w:sz w:val="20"/>
                <w:szCs w:val="20"/>
              </w:rPr>
              <w:t>/м</w:t>
            </w:r>
            <w:r w:rsidRPr="00B97CC1">
              <w:rPr>
                <w:rFonts w:ascii="Calibri" w:hAnsi="Calibri" w:cs="Calibri"/>
                <w:b/>
                <w:bCs/>
                <w:i/>
                <w:iCs/>
                <w:color w:val="000000"/>
                <w:sz w:val="20"/>
                <w:szCs w:val="20"/>
                <w:vertAlign w:val="superscript"/>
              </w:rPr>
              <w:t>2</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Алексинский</w:t>
            </w:r>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45</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2</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Белевский</w:t>
            </w:r>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30</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3</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489</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350</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5</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Заокский</w:t>
            </w:r>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1317</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6</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51</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7</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Ленинский</w:t>
            </w:r>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1111</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8</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2075</w:t>
            </w:r>
          </w:p>
        </w:tc>
      </w:tr>
      <w:tr w:rsidR="00A7207C" w:rsidRPr="00B97CC1" w:rsidTr="00632133">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9</w:t>
            </w:r>
          </w:p>
        </w:tc>
        <w:tc>
          <w:tcPr>
            <w:tcW w:w="2745" w:type="dxa"/>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Одоевский</w:t>
            </w:r>
          </w:p>
        </w:tc>
        <w:tc>
          <w:tcPr>
            <w:tcW w:w="3337"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3308</w:t>
            </w:r>
          </w:p>
        </w:tc>
      </w:tr>
      <w:tr w:rsidR="00A7207C" w:rsidRPr="00B97CC1" w:rsidTr="00632133">
        <w:trPr>
          <w:trHeight w:val="255"/>
          <w:jc w:val="center"/>
        </w:trPr>
        <w:tc>
          <w:tcPr>
            <w:tcW w:w="900"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10</w:t>
            </w:r>
          </w:p>
        </w:tc>
        <w:tc>
          <w:tcPr>
            <w:tcW w:w="2745" w:type="dxa"/>
            <w:shd w:val="clear" w:color="auto" w:fill="auto"/>
            <w:vAlign w:val="center"/>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37"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1500</w:t>
            </w:r>
          </w:p>
        </w:tc>
      </w:tr>
      <w:tr w:rsidR="00A7207C" w:rsidRPr="00B97CC1" w:rsidTr="00632133">
        <w:trPr>
          <w:trHeight w:val="255"/>
          <w:jc w:val="center"/>
        </w:trPr>
        <w:tc>
          <w:tcPr>
            <w:tcW w:w="900"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11</w:t>
            </w:r>
          </w:p>
        </w:tc>
        <w:tc>
          <w:tcPr>
            <w:tcW w:w="2745" w:type="dxa"/>
            <w:shd w:val="clear" w:color="auto" w:fill="auto"/>
            <w:vAlign w:val="center"/>
          </w:tcPr>
          <w:p w:rsidR="00A7207C" w:rsidRDefault="00A7207C" w:rsidP="00A7207C">
            <w:pPr>
              <w:rPr>
                <w:rFonts w:ascii="Calibri" w:hAnsi="Calibri" w:cs="Calibri"/>
                <w:color w:val="000000"/>
                <w:sz w:val="22"/>
                <w:szCs w:val="22"/>
              </w:rPr>
            </w:pPr>
            <w:r>
              <w:rPr>
                <w:rFonts w:ascii="Calibri" w:hAnsi="Calibri" w:cs="Calibri"/>
                <w:color w:val="000000"/>
                <w:sz w:val="22"/>
                <w:szCs w:val="22"/>
              </w:rPr>
              <w:t>Суворовский</w:t>
            </w:r>
          </w:p>
        </w:tc>
        <w:tc>
          <w:tcPr>
            <w:tcW w:w="3337"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35</w:t>
            </w:r>
          </w:p>
        </w:tc>
      </w:tr>
      <w:tr w:rsidR="00A7207C" w:rsidRPr="00B97CC1" w:rsidTr="00632133">
        <w:trPr>
          <w:trHeight w:val="255"/>
          <w:jc w:val="center"/>
        </w:trPr>
        <w:tc>
          <w:tcPr>
            <w:tcW w:w="900"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12</w:t>
            </w:r>
          </w:p>
        </w:tc>
        <w:tc>
          <w:tcPr>
            <w:tcW w:w="2745" w:type="dxa"/>
            <w:shd w:val="clear" w:color="auto" w:fill="auto"/>
            <w:vAlign w:val="center"/>
          </w:tcPr>
          <w:p w:rsidR="00A7207C" w:rsidRDefault="00A7207C" w:rsidP="00A7207C">
            <w:pPr>
              <w:rPr>
                <w:rFonts w:ascii="Calibri" w:hAnsi="Calibri" w:cs="Calibri"/>
                <w:color w:val="000000"/>
                <w:sz w:val="22"/>
                <w:szCs w:val="22"/>
              </w:rPr>
            </w:pPr>
            <w:r>
              <w:rPr>
                <w:rFonts w:ascii="Calibri" w:hAnsi="Calibri" w:cs="Calibri"/>
                <w:color w:val="000000"/>
                <w:sz w:val="22"/>
                <w:szCs w:val="22"/>
              </w:rPr>
              <w:t>Тула</w:t>
            </w:r>
          </w:p>
        </w:tc>
        <w:tc>
          <w:tcPr>
            <w:tcW w:w="3337"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4334</w:t>
            </w:r>
          </w:p>
        </w:tc>
      </w:tr>
      <w:tr w:rsidR="00A7207C" w:rsidRPr="00B97CC1" w:rsidTr="00632133">
        <w:trPr>
          <w:trHeight w:val="255"/>
          <w:jc w:val="center"/>
        </w:trPr>
        <w:tc>
          <w:tcPr>
            <w:tcW w:w="900"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13</w:t>
            </w:r>
          </w:p>
        </w:tc>
        <w:tc>
          <w:tcPr>
            <w:tcW w:w="2745" w:type="dxa"/>
            <w:shd w:val="clear" w:color="auto" w:fill="auto"/>
            <w:vAlign w:val="center"/>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337"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5264</w:t>
            </w:r>
          </w:p>
        </w:tc>
      </w:tr>
      <w:tr w:rsidR="00A7207C" w:rsidRPr="00B97CC1" w:rsidTr="00632133">
        <w:trPr>
          <w:trHeight w:val="255"/>
          <w:jc w:val="center"/>
        </w:trPr>
        <w:tc>
          <w:tcPr>
            <w:tcW w:w="900"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14</w:t>
            </w:r>
          </w:p>
        </w:tc>
        <w:tc>
          <w:tcPr>
            <w:tcW w:w="2745" w:type="dxa"/>
            <w:shd w:val="clear" w:color="auto" w:fill="auto"/>
            <w:vAlign w:val="center"/>
          </w:tcPr>
          <w:p w:rsidR="00A7207C" w:rsidRDefault="00A7207C" w:rsidP="00A7207C">
            <w:pPr>
              <w:rPr>
                <w:rFonts w:ascii="Calibri" w:hAnsi="Calibri" w:cs="Calibri"/>
                <w:color w:val="000000"/>
                <w:sz w:val="22"/>
                <w:szCs w:val="22"/>
              </w:rPr>
            </w:pPr>
            <w:r>
              <w:rPr>
                <w:rFonts w:ascii="Calibri" w:hAnsi="Calibri" w:cs="Calibri"/>
                <w:color w:val="000000"/>
                <w:sz w:val="22"/>
                <w:szCs w:val="22"/>
              </w:rPr>
              <w:t>Ясногорский</w:t>
            </w:r>
          </w:p>
        </w:tc>
        <w:tc>
          <w:tcPr>
            <w:tcW w:w="3337" w:type="dxa"/>
            <w:shd w:val="clear" w:color="auto" w:fill="auto"/>
            <w:vAlign w:val="center"/>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767</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A7207C" w:rsidP="0078680F">
      <w:pPr>
        <w:spacing w:before="120" w:after="120"/>
        <w:jc w:val="center"/>
        <w:rPr>
          <w:rFonts w:ascii="Arial" w:hAnsi="Arial" w:cs="Arial"/>
          <w:sz w:val="20"/>
          <w:szCs w:val="20"/>
        </w:rPr>
      </w:pPr>
      <w:r>
        <w:rPr>
          <w:noProof/>
        </w:rPr>
        <w:drawing>
          <wp:inline distT="0" distB="0" distL="0" distR="0" wp14:anchorId="6C1294B3" wp14:editId="5BB79B94">
            <wp:extent cx="4549140" cy="2430780"/>
            <wp:effectExtent l="0" t="0" r="381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FE2296" w:rsidTr="00632133">
        <w:trPr>
          <w:trHeight w:val="539"/>
          <w:jc w:val="center"/>
        </w:trPr>
        <w:tc>
          <w:tcPr>
            <w:tcW w:w="9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216"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126</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400</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151</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19</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Киреевский</w:t>
            </w:r>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237</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Ленинский</w:t>
            </w:r>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984</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587</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r>
              <w:rPr>
                <w:rFonts w:ascii="Calibri" w:hAnsi="Calibri" w:cs="Calibri"/>
                <w:color w:val="000000"/>
                <w:sz w:val="22"/>
                <w:szCs w:val="22"/>
              </w:rPr>
              <w:t>Тула</w:t>
            </w:r>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858</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574</w:t>
            </w:r>
          </w:p>
        </w:tc>
      </w:tr>
      <w:tr w:rsidR="00A7207C" w:rsidRPr="00FE2296" w:rsidTr="0099175A">
        <w:trPr>
          <w:trHeight w:val="255"/>
          <w:jc w:val="center"/>
        </w:trPr>
        <w:tc>
          <w:tcPr>
            <w:tcW w:w="900" w:type="dxa"/>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A7207C" w:rsidRDefault="00A7207C" w:rsidP="00A7207C">
            <w:pP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A7207C" w:rsidRDefault="00A7207C" w:rsidP="00A7207C">
            <w:pPr>
              <w:jc w:val="center"/>
              <w:rPr>
                <w:rFonts w:ascii="Calibri" w:hAnsi="Calibri" w:cs="Calibri"/>
                <w:color w:val="000000"/>
                <w:sz w:val="22"/>
                <w:szCs w:val="22"/>
              </w:rPr>
            </w:pPr>
            <w:r>
              <w:rPr>
                <w:rFonts w:ascii="Calibri" w:hAnsi="Calibri" w:cs="Calibri"/>
                <w:color w:val="000000"/>
                <w:sz w:val="22"/>
                <w:szCs w:val="22"/>
              </w:rPr>
              <w:t>257</w:t>
            </w:r>
          </w:p>
        </w:tc>
      </w:tr>
    </w:tbl>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107192"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0170FCB5" wp14:editId="6FAA22BC">
            <wp:extent cx="4572000" cy="198882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FF5C7A"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lastRenderedPageBreak/>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FE2296"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107192" w:rsidRPr="00FE2296" w:rsidTr="00E9681C">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Белевский</w:t>
            </w:r>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10</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9</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16</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21</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Киреевский</w:t>
            </w:r>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19</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Ленинский</w:t>
            </w:r>
          </w:p>
        </w:tc>
        <w:tc>
          <w:tcPr>
            <w:tcW w:w="3360"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56</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27</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w:t>
            </w:r>
          </w:p>
        </w:tc>
      </w:tr>
      <w:tr w:rsidR="00107192" w:rsidRPr="00FE2296" w:rsidTr="00E9681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rPr>
                <w:rFonts w:ascii="Calibri" w:hAnsi="Calibri" w:cs="Calibri"/>
                <w:color w:val="000000"/>
                <w:sz w:val="22"/>
                <w:szCs w:val="22"/>
              </w:rPr>
            </w:pPr>
            <w:r>
              <w:rPr>
                <w:rFonts w:ascii="Calibri" w:hAnsi="Calibri" w:cs="Calibri"/>
                <w:color w:val="000000"/>
                <w:sz w:val="22"/>
                <w:szCs w:val="22"/>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15</w:t>
            </w:r>
          </w:p>
        </w:tc>
      </w:tr>
    </w:tbl>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F0381A" w:rsidRDefault="00107192"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39A2F0E0" wp14:editId="79F849E7">
            <wp:extent cx="4572000" cy="2529840"/>
            <wp:effectExtent l="0" t="0" r="0" b="381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632133" w:rsidRDefault="00632133" w:rsidP="00AB2923">
      <w:pPr>
        <w:pStyle w:val="a4"/>
        <w:spacing w:before="120" w:beforeAutospacing="0" w:after="120" w:afterAutospacing="0"/>
        <w:ind w:firstLine="709"/>
        <w:jc w:val="center"/>
        <w:rPr>
          <w:rFonts w:asciiTheme="minorHAnsi" w:hAnsiTheme="minorHAnsi" w:cstheme="minorHAnsi"/>
          <w:b/>
          <w:i/>
          <w:sz w:val="22"/>
          <w:szCs w:val="22"/>
        </w:rPr>
      </w:pP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234" w:type="dxa"/>
        <w:jc w:val="center"/>
        <w:tblLook w:val="04A0" w:firstRow="1" w:lastRow="0" w:firstColumn="1" w:lastColumn="0" w:noHBand="0" w:noVBand="1"/>
      </w:tblPr>
      <w:tblGrid>
        <w:gridCol w:w="960"/>
        <w:gridCol w:w="2320"/>
        <w:gridCol w:w="2954"/>
      </w:tblGrid>
      <w:tr w:rsidR="00AB5C7D" w:rsidRPr="00AB5C7D" w:rsidTr="00B43E48">
        <w:trPr>
          <w:trHeight w:val="7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Тип использования земельного участка</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xml:space="preserve">Среднее значение удельного показателя стоимости, </w:t>
            </w:r>
            <w:proofErr w:type="spellStart"/>
            <w:r w:rsidRPr="00AB5C7D">
              <w:rPr>
                <w:rFonts w:ascii="Calibri" w:hAnsi="Calibri" w:cs="Calibri"/>
                <w:b/>
                <w:bCs/>
                <w:i/>
                <w:iCs/>
                <w:color w:val="000000"/>
                <w:sz w:val="22"/>
                <w:szCs w:val="22"/>
              </w:rPr>
              <w:t>руб</w:t>
            </w:r>
            <w:proofErr w:type="spellEnd"/>
            <w:r w:rsidRPr="00AB5C7D">
              <w:rPr>
                <w:rFonts w:ascii="Calibri" w:hAnsi="Calibri" w:cs="Calibri"/>
                <w:b/>
                <w:bCs/>
                <w:i/>
                <w:iCs/>
                <w:color w:val="000000"/>
                <w:sz w:val="22"/>
                <w:szCs w:val="22"/>
              </w:rPr>
              <w:t>/м</w:t>
            </w:r>
            <w:r w:rsidRPr="00AB5C7D">
              <w:rPr>
                <w:rFonts w:ascii="Calibri" w:hAnsi="Calibri" w:cs="Calibri"/>
                <w:b/>
                <w:bCs/>
                <w:i/>
                <w:iCs/>
                <w:color w:val="000000"/>
                <w:sz w:val="22"/>
                <w:szCs w:val="22"/>
                <w:vertAlign w:val="superscript"/>
              </w:rPr>
              <w:t>2</w:t>
            </w:r>
          </w:p>
        </w:tc>
      </w:tr>
      <w:tr w:rsidR="00107192" w:rsidRPr="00AB5C7D" w:rsidTr="0010719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под объекты торговли</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2150</w:t>
            </w:r>
          </w:p>
        </w:tc>
      </w:tr>
      <w:tr w:rsidR="00107192" w:rsidRPr="00AB5C7D" w:rsidTr="0010719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другое</w:t>
            </w:r>
          </w:p>
        </w:tc>
        <w:tc>
          <w:tcPr>
            <w:tcW w:w="2954"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1073</w:t>
            </w:r>
          </w:p>
        </w:tc>
      </w:tr>
      <w:tr w:rsidR="00107192" w:rsidRPr="00AB5C7D" w:rsidTr="0010719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rPr>
                <w:rFonts w:ascii="Calibri" w:hAnsi="Calibri" w:cs="Calibri"/>
                <w:color w:val="000000"/>
                <w:sz w:val="22"/>
                <w:szCs w:val="22"/>
              </w:rPr>
            </w:pPr>
            <w:r>
              <w:rPr>
                <w:rFonts w:ascii="Calibri" w:hAnsi="Calibri" w:cs="Calibri"/>
                <w:color w:val="000000"/>
                <w:sz w:val="22"/>
                <w:szCs w:val="22"/>
              </w:rPr>
              <w:t>с/х</w:t>
            </w:r>
          </w:p>
        </w:tc>
        <w:tc>
          <w:tcPr>
            <w:tcW w:w="2954"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17</w:t>
            </w:r>
          </w:p>
        </w:tc>
      </w:tr>
      <w:tr w:rsidR="00107192" w:rsidRPr="00AB5C7D" w:rsidTr="0010719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4</w:t>
            </w:r>
          </w:p>
        </w:tc>
        <w:tc>
          <w:tcPr>
            <w:tcW w:w="232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2954" w:type="dxa"/>
            <w:tcBorders>
              <w:top w:val="nil"/>
              <w:left w:val="nil"/>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498</w:t>
            </w:r>
          </w:p>
        </w:tc>
      </w:tr>
    </w:tbl>
    <w:p w:rsidR="00632133" w:rsidRDefault="00632133" w:rsidP="00AB5C7D">
      <w:pPr>
        <w:pStyle w:val="3"/>
        <w:spacing w:before="120" w:after="120"/>
        <w:ind w:firstLine="708"/>
        <w:jc w:val="center"/>
        <w:rPr>
          <w:rFonts w:asciiTheme="minorHAnsi" w:hAnsiTheme="minorHAnsi" w:cstheme="minorHAnsi"/>
          <w:i/>
          <w:sz w:val="22"/>
          <w:szCs w:val="22"/>
        </w:rPr>
      </w:pPr>
    </w:p>
    <w:p w:rsidR="00632133" w:rsidRDefault="00632133" w:rsidP="00AB5C7D">
      <w:pPr>
        <w:pStyle w:val="3"/>
        <w:spacing w:before="120" w:after="120"/>
        <w:ind w:firstLine="708"/>
        <w:jc w:val="center"/>
        <w:rPr>
          <w:rFonts w:asciiTheme="minorHAnsi" w:hAnsiTheme="minorHAnsi" w:cstheme="minorHAnsi"/>
          <w:i/>
          <w:sz w:val="22"/>
          <w:szCs w:val="22"/>
        </w:rPr>
      </w:pPr>
    </w:p>
    <w:p w:rsidR="00632133" w:rsidRDefault="00632133" w:rsidP="00AB5C7D">
      <w:pPr>
        <w:pStyle w:val="3"/>
        <w:spacing w:before="120" w:after="120"/>
        <w:ind w:firstLine="708"/>
        <w:jc w:val="center"/>
        <w:rPr>
          <w:rFonts w:asciiTheme="minorHAnsi" w:hAnsiTheme="minorHAnsi" w:cstheme="minorHAnsi"/>
          <w:i/>
          <w:sz w:val="22"/>
          <w:szCs w:val="22"/>
        </w:rPr>
      </w:pPr>
    </w:p>
    <w:p w:rsidR="006C79C1" w:rsidRDefault="0010443A" w:rsidP="00AB5C7D">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lastRenderedPageBreak/>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107192"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10800F7A" wp14:editId="3FA395E7">
            <wp:extent cx="4572000" cy="1729740"/>
            <wp:effectExtent l="0" t="0" r="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9C3E11" w:rsidRDefault="009C3E11" w:rsidP="00AB5C7D">
      <w:pPr>
        <w:pStyle w:val="3"/>
        <w:spacing w:before="240" w:after="120"/>
        <w:ind w:firstLine="709"/>
        <w:jc w:val="both"/>
        <w:rPr>
          <w:rFonts w:ascii="Arial" w:hAnsi="Arial" w:cs="Arial"/>
          <w:b w:val="0"/>
          <w:bCs w:val="0"/>
          <w:i/>
        </w:rPr>
      </w:pPr>
      <w:r>
        <w:rPr>
          <w:rFonts w:ascii="Arial" w:hAnsi="Arial" w:cs="Arial"/>
          <w:i/>
        </w:rPr>
        <w:t>*</w:t>
      </w:r>
      <w:r w:rsidRPr="009C3E11">
        <w:rPr>
          <w:rFonts w:ascii="Arial" w:hAnsi="Arial" w:cs="Arial"/>
          <w:b w:val="0"/>
          <w:i/>
        </w:rPr>
        <w:t>в данную категорию входят земли под придорожн</w:t>
      </w:r>
      <w:r w:rsidR="00535649">
        <w:rPr>
          <w:rFonts w:ascii="Arial" w:hAnsi="Arial" w:cs="Arial"/>
          <w:b w:val="0"/>
          <w:i/>
        </w:rPr>
        <w:t>ый</w:t>
      </w:r>
      <w:r w:rsidRPr="009C3E11">
        <w:rPr>
          <w:rFonts w:ascii="Arial" w:hAnsi="Arial" w:cs="Arial"/>
          <w:b w:val="0"/>
          <w:i/>
        </w:rPr>
        <w:t xml:space="preserve"> сервис, организацию отдыха и </w:t>
      </w:r>
      <w:proofErr w:type="spellStart"/>
      <w:r w:rsidRPr="009C3E11">
        <w:rPr>
          <w:rFonts w:ascii="Arial" w:hAnsi="Arial" w:cs="Arial"/>
          <w:b w:val="0"/>
          <w:i/>
        </w:rPr>
        <w:t>т.д</w:t>
      </w:r>
      <w:proofErr w:type="spellEnd"/>
      <w:r w:rsidRPr="009C3E11">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В </w:t>
      </w:r>
      <w:r>
        <w:rPr>
          <w:rFonts w:ascii="Arial" w:hAnsi="Arial" w:cs="Arial"/>
          <w:b w:val="0"/>
          <w:bCs w:val="0"/>
          <w:color w:val="auto"/>
          <w:lang w:val="en-US"/>
        </w:rPr>
        <w:t>III</w:t>
      </w:r>
      <w:r w:rsidRPr="005B2154">
        <w:rPr>
          <w:rFonts w:ascii="Arial" w:hAnsi="Arial" w:cs="Arial"/>
          <w:b w:val="0"/>
          <w:bCs w:val="0"/>
          <w:color w:val="auto"/>
        </w:rPr>
        <w:t xml:space="preserve"> </w:t>
      </w:r>
      <w:r>
        <w:rPr>
          <w:rFonts w:ascii="Arial" w:hAnsi="Arial" w:cs="Arial"/>
          <w:b w:val="0"/>
          <w:bCs w:val="0"/>
          <w:color w:val="auto"/>
        </w:rPr>
        <w:t xml:space="preserve">квартале рынок аренды земельных участков на фоне малочисленных предложений за </w:t>
      </w:r>
      <w:r>
        <w:rPr>
          <w:rFonts w:ascii="Arial" w:hAnsi="Arial" w:cs="Arial"/>
          <w:b w:val="0"/>
          <w:bCs w:val="0"/>
          <w:color w:val="auto"/>
          <w:lang w:val="en-US"/>
        </w:rPr>
        <w:t>I</w:t>
      </w:r>
      <w:r w:rsidRPr="005B2154">
        <w:rPr>
          <w:rFonts w:ascii="Arial" w:hAnsi="Arial" w:cs="Arial"/>
          <w:b w:val="0"/>
          <w:bCs w:val="0"/>
          <w:color w:val="auto"/>
        </w:rPr>
        <w:t xml:space="preserve"> </w:t>
      </w:r>
      <w:r>
        <w:rPr>
          <w:rFonts w:ascii="Arial" w:hAnsi="Arial" w:cs="Arial"/>
          <w:b w:val="0"/>
          <w:bCs w:val="0"/>
          <w:color w:val="auto"/>
        </w:rPr>
        <w:t>полугодие</w:t>
      </w:r>
      <w:r w:rsidR="006A75AB">
        <w:rPr>
          <w:rFonts w:ascii="Arial" w:hAnsi="Arial" w:cs="Arial"/>
          <w:b w:val="0"/>
          <w:bCs w:val="0"/>
          <w:color w:val="auto"/>
        </w:rPr>
        <w:t xml:space="preserve"> в количественном отношении</w:t>
      </w:r>
      <w:r>
        <w:rPr>
          <w:rFonts w:ascii="Arial" w:hAnsi="Arial" w:cs="Arial"/>
          <w:b w:val="0"/>
          <w:bCs w:val="0"/>
          <w:color w:val="auto"/>
        </w:rPr>
        <w:t xml:space="preserve"> демонстрирует рост.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107192" w:rsidRPr="00D95B77" w:rsidTr="00107192">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1</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комм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32,9</w:t>
            </w:r>
          </w:p>
        </w:tc>
      </w:tr>
      <w:tr w:rsidR="00107192"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2</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31,1</w:t>
            </w:r>
          </w:p>
        </w:tc>
      </w:tr>
      <w:tr w:rsidR="00107192"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3</w:t>
            </w:r>
          </w:p>
        </w:tc>
        <w:tc>
          <w:tcPr>
            <w:tcW w:w="2259" w:type="dxa"/>
            <w:tcBorders>
              <w:top w:val="nil"/>
              <w:left w:val="single" w:sz="4" w:space="0" w:color="auto"/>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с/х</w:t>
            </w:r>
          </w:p>
        </w:tc>
        <w:tc>
          <w:tcPr>
            <w:tcW w:w="3119" w:type="dxa"/>
            <w:tcBorders>
              <w:top w:val="nil"/>
              <w:left w:val="nil"/>
              <w:bottom w:val="single" w:sz="4" w:space="0" w:color="auto"/>
              <w:right w:val="single" w:sz="4" w:space="0" w:color="auto"/>
            </w:tcBorders>
            <w:shd w:val="clear" w:color="auto" w:fill="auto"/>
            <w:vAlign w:val="center"/>
          </w:tcPr>
          <w:p w:rsidR="00107192" w:rsidRDefault="00107192" w:rsidP="00107192">
            <w:pPr>
              <w:jc w:val="center"/>
              <w:rPr>
                <w:rFonts w:ascii="Calibri" w:hAnsi="Calibri" w:cs="Calibri"/>
                <w:color w:val="000000"/>
                <w:sz w:val="22"/>
                <w:szCs w:val="22"/>
              </w:rPr>
            </w:pPr>
            <w:r>
              <w:rPr>
                <w:rFonts w:ascii="Calibri" w:hAnsi="Calibri" w:cs="Calibri"/>
                <w:color w:val="000000"/>
                <w:sz w:val="22"/>
                <w:szCs w:val="22"/>
              </w:rPr>
              <w:t>0,03</w:t>
            </w:r>
          </w:p>
        </w:tc>
      </w:tr>
    </w:tbl>
    <w:p w:rsidR="00D95B77" w:rsidRPr="00535649" w:rsidRDefault="0010443A" w:rsidP="00D95B77">
      <w:pPr>
        <w:pStyle w:val="3"/>
        <w:spacing w:before="120" w:after="120"/>
        <w:ind w:firstLine="708"/>
        <w:jc w:val="center"/>
        <w:rPr>
          <w:rFonts w:asciiTheme="minorHAnsi" w:hAnsiTheme="minorHAnsi" w:cstheme="minorHAnsi"/>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D95B77" w:rsidRDefault="00107192" w:rsidP="00D95B77">
      <w:pPr>
        <w:pStyle w:val="3"/>
        <w:spacing w:before="120" w:after="120"/>
        <w:ind w:firstLine="708"/>
        <w:jc w:val="center"/>
        <w:rPr>
          <w:rFonts w:ascii="Arial" w:hAnsi="Arial" w:cs="Arial"/>
          <w:b w:val="0"/>
          <w:bCs w:val="0"/>
          <w:color w:val="auto"/>
        </w:rPr>
      </w:pPr>
      <w:r>
        <w:rPr>
          <w:noProof/>
        </w:rPr>
        <w:drawing>
          <wp:inline distT="0" distB="0" distL="0" distR="0" wp14:anchorId="6D66CB77" wp14:editId="42FA033F">
            <wp:extent cx="4572000" cy="19050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5B77" w:rsidRDefault="00D95B77" w:rsidP="00894EF9">
      <w:pPr>
        <w:pStyle w:val="3"/>
        <w:spacing w:before="120" w:after="120"/>
        <w:ind w:firstLine="708"/>
        <w:jc w:val="both"/>
        <w:rPr>
          <w:rFonts w:ascii="Arial" w:hAnsi="Arial" w:cs="Arial"/>
          <w:b w:val="0"/>
          <w:bCs w:val="0"/>
          <w:color w:val="auto"/>
        </w:rPr>
      </w:pPr>
    </w:p>
    <w:p w:rsidR="00D42B01" w:rsidRDefault="00D95B77" w:rsidP="00894EF9">
      <w:pPr>
        <w:pStyle w:val="3"/>
        <w:spacing w:before="120" w:after="120"/>
        <w:ind w:firstLine="708"/>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5"/>
      </w:r>
    </w:p>
    <w:p w:rsidR="006D2535" w:rsidRPr="00F25DE9" w:rsidRDefault="006D2535" w:rsidP="00894EF9">
      <w:pPr>
        <w:pStyle w:val="3"/>
        <w:spacing w:before="120" w:after="120"/>
        <w:ind w:firstLine="708"/>
        <w:jc w:val="both"/>
        <w:rPr>
          <w:rFonts w:ascii="Arial" w:hAnsi="Arial" w:cs="Arial"/>
          <w:b w:val="0"/>
          <w:i/>
        </w:rPr>
      </w:pPr>
      <w:r w:rsidRPr="00F25DE9">
        <w:rPr>
          <w:rFonts w:ascii="Arial" w:hAnsi="Arial" w:cs="Arial"/>
          <w:b w:val="0"/>
          <w:i/>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w:t>
      </w:r>
      <w:r w:rsidR="00D24C38">
        <w:rPr>
          <w:rFonts w:ascii="Arial" w:hAnsi="Arial" w:cs="Arial"/>
          <w:b w:val="0"/>
          <w:i/>
        </w:rPr>
        <w:t xml:space="preserve"> относительная</w:t>
      </w:r>
      <w:r w:rsidRPr="00F25DE9">
        <w:rPr>
          <w:rFonts w:ascii="Arial" w:hAnsi="Arial" w:cs="Arial"/>
          <w:b w:val="0"/>
          <w:i/>
        </w:rPr>
        <w:t xml:space="preserve"> стабилизация. Позитивными трендами являются </w:t>
      </w:r>
      <w:r w:rsidR="00D24C38">
        <w:rPr>
          <w:rFonts w:ascii="Arial" w:hAnsi="Arial" w:cs="Arial"/>
          <w:b w:val="0"/>
          <w:i/>
        </w:rPr>
        <w:t>некоторый</w:t>
      </w:r>
      <w:r w:rsidRPr="00F25DE9">
        <w:rPr>
          <w:rFonts w:ascii="Arial" w:hAnsi="Arial" w:cs="Arial"/>
          <w:b w:val="0"/>
          <w:i/>
        </w:rPr>
        <w:t xml:space="preserve"> рост спроса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B55611" w:rsidRPr="00B55611" w:rsidRDefault="00B55611" w:rsidP="00B55611">
      <w:pPr>
        <w:pStyle w:val="3"/>
        <w:spacing w:before="240" w:after="120"/>
        <w:ind w:firstLine="709"/>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BE41B2" w:rsidRDefault="005E7BD7" w:rsidP="001F2468">
      <w:pPr>
        <w:pStyle w:val="3"/>
        <w:spacing w:before="120" w:after="120"/>
        <w:ind w:firstLine="708"/>
        <w:jc w:val="both"/>
      </w:pPr>
      <w:r w:rsidRPr="00B55611">
        <w:rPr>
          <w:b w:val="0"/>
          <w:i/>
        </w:rPr>
        <w:t>Тула</w:t>
      </w:r>
      <w:r w:rsidR="00632133">
        <w:rPr>
          <w:b w:val="0"/>
          <w:i/>
        </w:rPr>
        <w:t>, янва</w:t>
      </w:r>
      <w:r w:rsidR="00707D36">
        <w:rPr>
          <w:b w:val="0"/>
          <w:i/>
        </w:rPr>
        <w:t>рь</w:t>
      </w:r>
      <w:r w:rsidR="00894EF9" w:rsidRPr="00B55611">
        <w:rPr>
          <w:b w:val="0"/>
          <w:i/>
        </w:rPr>
        <w:t xml:space="preserve"> 201</w:t>
      </w:r>
      <w:r w:rsidR="00632133">
        <w:rPr>
          <w:b w:val="0"/>
          <w:i/>
        </w:rPr>
        <w:t>9</w:t>
      </w:r>
      <w:r w:rsidR="00894EF9" w:rsidRPr="00B55611">
        <w:rPr>
          <w:b w:val="0"/>
          <w:i/>
        </w:rPr>
        <w:t>.</w:t>
      </w:r>
    </w:p>
    <w:sectPr w:rsidR="00BE41B2" w:rsidSect="00593054">
      <w:footerReference w:type="default" r:id="rId21"/>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78" w:rsidRDefault="00893878" w:rsidP="004407CF">
      <w:r>
        <w:separator/>
      </w:r>
    </w:p>
  </w:endnote>
  <w:endnote w:type="continuationSeparator" w:id="0">
    <w:p w:rsidR="00893878" w:rsidRDefault="00893878"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33" w:rsidRDefault="003B3433">
    <w:pPr>
      <w:pStyle w:val="ad"/>
      <w:jc w:val="center"/>
    </w:pPr>
  </w:p>
  <w:p w:rsidR="003B3433" w:rsidRDefault="003B343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78" w:rsidRDefault="00893878" w:rsidP="004407CF">
      <w:r>
        <w:separator/>
      </w:r>
    </w:p>
  </w:footnote>
  <w:footnote w:type="continuationSeparator" w:id="0">
    <w:p w:rsidR="00893878" w:rsidRDefault="00893878" w:rsidP="004407CF">
      <w:r>
        <w:continuationSeparator/>
      </w:r>
    </w:p>
  </w:footnote>
  <w:footnote w:id="1">
    <w:p w:rsidR="003B3433" w:rsidRPr="00DF78CC" w:rsidRDefault="003B3433">
      <w:pPr>
        <w:pStyle w:val="af1"/>
        <w:rPr>
          <w:i/>
          <w:sz w:val="18"/>
          <w:szCs w:val="18"/>
        </w:rPr>
      </w:pPr>
      <w:r w:rsidRPr="004407CF">
        <w:rPr>
          <w:rStyle w:val="af3"/>
          <w:i/>
        </w:rPr>
        <w:footnoteRef/>
      </w:r>
      <w:r w:rsidRPr="004407CF">
        <w:rPr>
          <w:i/>
        </w:rPr>
        <w:t xml:space="preserve"> </w:t>
      </w:r>
      <w:hyperlink r:id="rId1" w:history="1">
        <w:r w:rsidRPr="00DF78CC">
          <w:rPr>
            <w:rStyle w:val="a3"/>
            <w:i/>
            <w:sz w:val="18"/>
            <w:szCs w:val="18"/>
          </w:rPr>
          <w:t>Информация о регионе - Инвестиционный портал Тульской области</w:t>
        </w:r>
      </w:hyperlink>
    </w:p>
  </w:footnote>
  <w:footnote w:id="2">
    <w:p w:rsidR="003B3433" w:rsidRPr="00DF78CC" w:rsidRDefault="003B3433">
      <w:pPr>
        <w:pStyle w:val="af1"/>
        <w:rPr>
          <w:i/>
          <w:sz w:val="18"/>
          <w:szCs w:val="18"/>
        </w:rPr>
      </w:pPr>
      <w:r w:rsidRPr="00DF78CC">
        <w:rPr>
          <w:rStyle w:val="af3"/>
          <w:i/>
          <w:sz w:val="18"/>
          <w:szCs w:val="18"/>
        </w:rPr>
        <w:footnoteRef/>
      </w:r>
      <w:r w:rsidRPr="00DF78CC">
        <w:rPr>
          <w:i/>
          <w:sz w:val="18"/>
          <w:szCs w:val="18"/>
        </w:rPr>
        <w:t xml:space="preserve"> </w:t>
      </w:r>
      <w:hyperlink r:id="rId2" w:history="1">
        <w:r w:rsidRPr="00DF78CC">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3B3433" w:rsidRPr="00DF78CC" w:rsidRDefault="003B3433">
      <w:pPr>
        <w:pStyle w:val="af1"/>
        <w:rPr>
          <w:i/>
          <w:sz w:val="18"/>
          <w:szCs w:val="18"/>
        </w:rPr>
      </w:pPr>
      <w:r>
        <w:rPr>
          <w:rStyle w:val="af3"/>
        </w:rPr>
        <w:footnoteRef/>
      </w:r>
      <w:r>
        <w:t xml:space="preserve"> </w:t>
      </w:r>
      <w:hyperlink r:id="rId3" w:history="1">
        <w:r w:rsidRPr="00DF78CC">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3B3433" w:rsidRPr="00A05FA8" w:rsidRDefault="003B3433">
      <w:pPr>
        <w:pStyle w:val="af1"/>
        <w:rPr>
          <w:i/>
          <w:sz w:val="18"/>
          <w:szCs w:val="18"/>
        </w:rPr>
      </w:pPr>
      <w:r w:rsidRPr="00A05FA8">
        <w:rPr>
          <w:rStyle w:val="af3"/>
          <w:i/>
          <w:sz w:val="18"/>
          <w:szCs w:val="18"/>
        </w:rPr>
        <w:footnoteRef/>
      </w:r>
      <w:r w:rsidRPr="00A05FA8">
        <w:rPr>
          <w:i/>
          <w:sz w:val="18"/>
          <w:szCs w:val="18"/>
        </w:rPr>
        <w:t xml:space="preserve"> </w:t>
      </w:r>
      <w:hyperlink r:id="rId4" w:history="1">
        <w:r w:rsidRPr="00A05FA8">
          <w:rPr>
            <w:rStyle w:val="a3"/>
            <w:i/>
            <w:sz w:val="18"/>
            <w:szCs w:val="18"/>
          </w:rPr>
          <w:t>Казанская набережная (Тула) — Википедия</w:t>
        </w:r>
      </w:hyperlink>
    </w:p>
  </w:footnote>
  <w:footnote w:id="5">
    <w:p w:rsidR="003B3433" w:rsidRPr="006A02FA" w:rsidRDefault="003B3433">
      <w:pPr>
        <w:pStyle w:val="af1"/>
        <w:rPr>
          <w:i/>
          <w:color w:val="FFFFFF" w:themeColor="background1"/>
          <w:sz w:val="18"/>
          <w:szCs w:val="18"/>
          <w14:textFill>
            <w14:noFill/>
          </w14:textFill>
        </w:rPr>
      </w:pPr>
      <w:r w:rsidRPr="0001771C">
        <w:rPr>
          <w:rStyle w:val="af3"/>
          <w:i/>
          <w:sz w:val="18"/>
          <w:szCs w:val="18"/>
        </w:rPr>
        <w:footnoteRef/>
      </w:r>
      <w:r w:rsidRPr="0001771C">
        <w:rPr>
          <w:i/>
          <w:sz w:val="18"/>
          <w:szCs w:val="18"/>
        </w:rPr>
        <w:t xml:space="preserve"> </w:t>
      </w:r>
      <w:hyperlink r:id="rId5" w:history="1">
        <w:r w:rsidRPr="0001771C">
          <w:rPr>
            <w:rStyle w:val="a3"/>
            <w:i/>
            <w:sz w:val="18"/>
            <w:szCs w:val="18"/>
          </w:rPr>
          <w:t>Продажа торговых помещений в Тульской области, купить торговую площадь - база объявлений ЦИАН</w:t>
        </w:r>
      </w:hyperlink>
    </w:p>
  </w:footnote>
  <w:footnote w:id="6">
    <w:p w:rsidR="003B3433" w:rsidRPr="000662EC" w:rsidRDefault="003B3433">
      <w:pPr>
        <w:pStyle w:val="af1"/>
        <w:rPr>
          <w:i/>
          <w:sz w:val="18"/>
          <w:szCs w:val="18"/>
        </w:rPr>
      </w:pPr>
      <w:r w:rsidRPr="000662EC">
        <w:rPr>
          <w:rStyle w:val="af3"/>
          <w:i/>
          <w:sz w:val="18"/>
          <w:szCs w:val="18"/>
        </w:rPr>
        <w:footnoteRef/>
      </w:r>
      <w:r w:rsidRPr="000662EC">
        <w:rPr>
          <w:i/>
          <w:sz w:val="18"/>
          <w:szCs w:val="18"/>
        </w:rPr>
        <w:t xml:space="preserve"> </w:t>
      </w:r>
      <w:hyperlink r:id="rId6" w:history="1">
        <w:r>
          <w:rPr>
            <w:rStyle w:val="a3"/>
            <w:i/>
            <w:sz w:val="18"/>
            <w:szCs w:val="18"/>
          </w:rPr>
          <w:t>Аренда торговых помещений в Тульской области - база объявлений ЦИАН</w:t>
        </w:r>
      </w:hyperlink>
    </w:p>
  </w:footnote>
  <w:footnote w:id="7">
    <w:p w:rsidR="003B3433" w:rsidRPr="00B42CCA" w:rsidRDefault="003B3433" w:rsidP="0001771C">
      <w:pPr>
        <w:pStyle w:val="af1"/>
        <w:rPr>
          <w:i/>
          <w:sz w:val="18"/>
          <w:szCs w:val="18"/>
        </w:rPr>
      </w:pPr>
      <w:r w:rsidRPr="00B42CCA">
        <w:rPr>
          <w:rStyle w:val="af3"/>
          <w:i/>
          <w:sz w:val="18"/>
          <w:szCs w:val="18"/>
        </w:rPr>
        <w:footnoteRef/>
      </w:r>
      <w:r w:rsidRPr="00B42CCA">
        <w:rPr>
          <w:i/>
          <w:sz w:val="18"/>
          <w:szCs w:val="18"/>
        </w:rPr>
        <w:t xml:space="preserve"> </w:t>
      </w:r>
      <w:hyperlink r:id="rId7" w:history="1">
        <w:r>
          <w:rPr>
            <w:rStyle w:val="a3"/>
            <w:i/>
            <w:sz w:val="18"/>
            <w:szCs w:val="18"/>
          </w:rPr>
          <w:t>Купить офис в Тульской области - база объявлений ЦИАН</w:t>
        </w:r>
      </w:hyperlink>
    </w:p>
  </w:footnote>
  <w:footnote w:id="8">
    <w:p w:rsidR="003B3433" w:rsidRPr="00B42CCA" w:rsidRDefault="003B3433" w:rsidP="00B42CCA">
      <w:pPr>
        <w:pStyle w:val="af1"/>
        <w:rPr>
          <w:i/>
          <w:sz w:val="18"/>
          <w:szCs w:val="18"/>
        </w:rPr>
      </w:pPr>
      <w:r w:rsidRPr="00B42CCA">
        <w:rPr>
          <w:rStyle w:val="af3"/>
          <w:i/>
          <w:sz w:val="18"/>
          <w:szCs w:val="18"/>
        </w:rPr>
        <w:footnoteRef/>
      </w:r>
      <w:r w:rsidRPr="00B42CCA">
        <w:rPr>
          <w:i/>
          <w:sz w:val="18"/>
          <w:szCs w:val="18"/>
        </w:rPr>
        <w:t xml:space="preserve"> </w:t>
      </w:r>
      <w:hyperlink r:id="rId8" w:history="1">
        <w:r>
          <w:rPr>
            <w:rStyle w:val="a3"/>
            <w:i/>
            <w:sz w:val="18"/>
            <w:szCs w:val="18"/>
          </w:rPr>
          <w:t>Снять офис в Тульской области - база объявлений ЦИАН</w:t>
        </w:r>
      </w:hyperlink>
    </w:p>
  </w:footnote>
  <w:footnote w:id="9">
    <w:p w:rsidR="003B3433" w:rsidRPr="00897A58" w:rsidRDefault="003B3433">
      <w:pPr>
        <w:pStyle w:val="af1"/>
        <w:rPr>
          <w:i/>
          <w:sz w:val="18"/>
          <w:szCs w:val="18"/>
        </w:rPr>
      </w:pPr>
      <w:r w:rsidRPr="00897A58">
        <w:rPr>
          <w:rStyle w:val="af3"/>
          <w:i/>
          <w:sz w:val="18"/>
          <w:szCs w:val="18"/>
        </w:rPr>
        <w:footnoteRef/>
      </w:r>
      <w:r w:rsidRPr="00897A58">
        <w:rPr>
          <w:i/>
          <w:sz w:val="18"/>
          <w:szCs w:val="18"/>
        </w:rPr>
        <w:t xml:space="preserve"> </w:t>
      </w:r>
      <w:hyperlink r:id="rId9" w:history="1">
        <w:r w:rsidRPr="00897A58">
          <w:rPr>
            <w:rStyle w:val="a3"/>
            <w:i/>
            <w:sz w:val="18"/>
            <w:szCs w:val="18"/>
          </w:rPr>
          <w:t>Купить производство, склад в Тульской области - база объявлений ЦИАН</w:t>
        </w:r>
      </w:hyperlink>
    </w:p>
  </w:footnote>
  <w:footnote w:id="10">
    <w:p w:rsidR="003B3433" w:rsidRPr="0042471B" w:rsidRDefault="003B3433">
      <w:pPr>
        <w:pStyle w:val="af1"/>
        <w:rPr>
          <w:i/>
          <w:sz w:val="18"/>
          <w:szCs w:val="18"/>
        </w:rPr>
      </w:pPr>
      <w:r w:rsidRPr="0042471B">
        <w:rPr>
          <w:rStyle w:val="af3"/>
          <w:i/>
          <w:sz w:val="18"/>
          <w:szCs w:val="18"/>
        </w:rPr>
        <w:footnoteRef/>
      </w:r>
      <w:r w:rsidRPr="0042471B">
        <w:rPr>
          <w:i/>
          <w:sz w:val="18"/>
          <w:szCs w:val="18"/>
        </w:rPr>
        <w:t xml:space="preserve"> </w:t>
      </w:r>
      <w:hyperlink r:id="rId10" w:history="1">
        <w:r w:rsidRPr="0042471B">
          <w:rPr>
            <w:rStyle w:val="a3"/>
            <w:i/>
            <w:sz w:val="18"/>
            <w:szCs w:val="18"/>
          </w:rPr>
          <w:t>Снять помещение под производство, склад в Тульской области - база объявлений ЦИАН</w:t>
        </w:r>
      </w:hyperlink>
    </w:p>
  </w:footnote>
  <w:footnote w:id="11">
    <w:p w:rsidR="00632133" w:rsidRPr="00632133" w:rsidRDefault="00632133">
      <w:pPr>
        <w:pStyle w:val="af1"/>
        <w:rPr>
          <w:i/>
        </w:rPr>
      </w:pPr>
      <w:r w:rsidRPr="00632133">
        <w:rPr>
          <w:rStyle w:val="af3"/>
          <w:i/>
        </w:rPr>
        <w:footnoteRef/>
      </w:r>
      <w:r w:rsidRPr="00632133">
        <w:rPr>
          <w:i/>
        </w:rPr>
        <w:t xml:space="preserve"> </w:t>
      </w:r>
      <w:hyperlink r:id="rId11" w:history="1">
        <w:r w:rsidRPr="00632133">
          <w:rPr>
            <w:rStyle w:val="a3"/>
            <w:i/>
          </w:rPr>
          <w:t>Инвестиционные площадки Тульской области</w:t>
        </w:r>
      </w:hyperlink>
    </w:p>
  </w:footnote>
  <w:footnote w:id="12">
    <w:p w:rsidR="00632133" w:rsidRPr="00632133" w:rsidRDefault="00632133">
      <w:pPr>
        <w:pStyle w:val="af1"/>
        <w:rPr>
          <w:i/>
        </w:rPr>
      </w:pPr>
      <w:r w:rsidRPr="00632133">
        <w:rPr>
          <w:rStyle w:val="af3"/>
          <w:i/>
        </w:rPr>
        <w:footnoteRef/>
      </w:r>
      <w:r w:rsidRPr="00632133">
        <w:rPr>
          <w:i/>
        </w:rPr>
        <w:t xml:space="preserve"> </w:t>
      </w:r>
      <w:hyperlink r:id="rId12" w:history="1">
        <w:r w:rsidRPr="00632133">
          <w:rPr>
            <w:rStyle w:val="a3"/>
            <w:i/>
          </w:rPr>
          <w:t>Индустриальные парки Тульской области</w:t>
        </w:r>
      </w:hyperlink>
    </w:p>
  </w:footnote>
  <w:footnote w:id="13">
    <w:p w:rsidR="003B3433" w:rsidRPr="00DF78CC" w:rsidRDefault="003B3433">
      <w:pPr>
        <w:pStyle w:val="af1"/>
        <w:rPr>
          <w:i/>
          <w:sz w:val="18"/>
          <w:szCs w:val="18"/>
        </w:rPr>
      </w:pPr>
      <w:r w:rsidRPr="00593054">
        <w:rPr>
          <w:rStyle w:val="af3"/>
          <w:i/>
        </w:rPr>
        <w:footnoteRef/>
      </w:r>
      <w:r w:rsidRPr="00593054">
        <w:rPr>
          <w:i/>
        </w:rPr>
        <w:t xml:space="preserve"> </w:t>
      </w:r>
      <w:hyperlink r:id="rId13" w:history="1">
        <w:r>
          <w:rPr>
            <w:rStyle w:val="a3"/>
            <w:i/>
            <w:sz w:val="18"/>
            <w:szCs w:val="18"/>
          </w:rPr>
          <w:t>Доклад о состоянии и использовании земель в Тульской области в 2017 г.</w:t>
        </w:r>
      </w:hyperlink>
    </w:p>
  </w:footnote>
  <w:footnote w:id="14">
    <w:p w:rsidR="003B3433" w:rsidRDefault="003B3433">
      <w:pPr>
        <w:pStyle w:val="af1"/>
      </w:pPr>
      <w:r>
        <w:rPr>
          <w:rStyle w:val="af3"/>
        </w:rPr>
        <w:footnoteRef/>
      </w:r>
      <w:r>
        <w:t xml:space="preserve"> </w:t>
      </w:r>
      <w:hyperlink r:id="rId14" w:history="1">
        <w:r w:rsidRPr="00B97CC1">
          <w:rPr>
            <w:rStyle w:val="a3"/>
            <w:i/>
            <w:sz w:val="18"/>
            <w:szCs w:val="18"/>
          </w:rPr>
          <w:t>Купить коммерческий участок в Тульской области - база объявлений ЦИАН</w:t>
        </w:r>
      </w:hyperlink>
    </w:p>
  </w:footnote>
  <w:footnote w:id="15">
    <w:p w:rsidR="003B3433" w:rsidRPr="004C729F" w:rsidRDefault="003B3433">
      <w:pPr>
        <w:pStyle w:val="af1"/>
        <w:rPr>
          <w:i/>
          <w:sz w:val="18"/>
          <w:szCs w:val="18"/>
        </w:rPr>
      </w:pPr>
      <w:r w:rsidRPr="004C729F">
        <w:rPr>
          <w:rStyle w:val="af3"/>
          <w:i/>
          <w:sz w:val="18"/>
          <w:szCs w:val="18"/>
        </w:rPr>
        <w:footnoteRef/>
      </w:r>
      <w:r w:rsidRPr="004C729F">
        <w:rPr>
          <w:i/>
          <w:sz w:val="18"/>
          <w:szCs w:val="18"/>
        </w:rPr>
        <w:t xml:space="preserve"> </w:t>
      </w:r>
      <w:hyperlink r:id="rId15" w:history="1">
        <w:r w:rsidRPr="004C729F">
          <w:rPr>
            <w:rStyle w:val="a3"/>
            <w:i/>
            <w:sz w:val="18"/>
            <w:szCs w:val="18"/>
          </w:rPr>
          <w:t>Муниципальное имущество - Земельные участки (аренда)</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7586"/>
    <w:rsid w:val="000662EC"/>
    <w:rsid w:val="000830CF"/>
    <w:rsid w:val="00091D6E"/>
    <w:rsid w:val="000D46D5"/>
    <w:rsid w:val="0010443A"/>
    <w:rsid w:val="00107192"/>
    <w:rsid w:val="001128F4"/>
    <w:rsid w:val="00116712"/>
    <w:rsid w:val="00162BCB"/>
    <w:rsid w:val="001B581F"/>
    <w:rsid w:val="001C114E"/>
    <w:rsid w:val="001C4BBA"/>
    <w:rsid w:val="001E2017"/>
    <w:rsid w:val="001F1DD6"/>
    <w:rsid w:val="001F2468"/>
    <w:rsid w:val="00206AA6"/>
    <w:rsid w:val="002074D7"/>
    <w:rsid w:val="002446DE"/>
    <w:rsid w:val="00257080"/>
    <w:rsid w:val="00257307"/>
    <w:rsid w:val="00287F26"/>
    <w:rsid w:val="002943BF"/>
    <w:rsid w:val="002D08AA"/>
    <w:rsid w:val="002F6C37"/>
    <w:rsid w:val="0031223B"/>
    <w:rsid w:val="0032069C"/>
    <w:rsid w:val="00322663"/>
    <w:rsid w:val="0037436C"/>
    <w:rsid w:val="003A26B8"/>
    <w:rsid w:val="003B3433"/>
    <w:rsid w:val="0042052D"/>
    <w:rsid w:val="0042471B"/>
    <w:rsid w:val="004407CF"/>
    <w:rsid w:val="00462C0E"/>
    <w:rsid w:val="004A632D"/>
    <w:rsid w:val="004C729F"/>
    <w:rsid w:val="004E3EBF"/>
    <w:rsid w:val="004F006E"/>
    <w:rsid w:val="00505815"/>
    <w:rsid w:val="005216A1"/>
    <w:rsid w:val="00535649"/>
    <w:rsid w:val="0056486C"/>
    <w:rsid w:val="00593054"/>
    <w:rsid w:val="005978A9"/>
    <w:rsid w:val="005B2154"/>
    <w:rsid w:val="005B7F9E"/>
    <w:rsid w:val="005C231A"/>
    <w:rsid w:val="005C75DC"/>
    <w:rsid w:val="005D160D"/>
    <w:rsid w:val="005E7BD7"/>
    <w:rsid w:val="00632133"/>
    <w:rsid w:val="00661AF9"/>
    <w:rsid w:val="00672C84"/>
    <w:rsid w:val="006A02FA"/>
    <w:rsid w:val="006A29C8"/>
    <w:rsid w:val="006A75AB"/>
    <w:rsid w:val="006B1C9D"/>
    <w:rsid w:val="006C79C1"/>
    <w:rsid w:val="006D2535"/>
    <w:rsid w:val="006D6066"/>
    <w:rsid w:val="006E329D"/>
    <w:rsid w:val="006F1940"/>
    <w:rsid w:val="006F6146"/>
    <w:rsid w:val="00707D36"/>
    <w:rsid w:val="00712A40"/>
    <w:rsid w:val="00716147"/>
    <w:rsid w:val="007456E9"/>
    <w:rsid w:val="00753404"/>
    <w:rsid w:val="00770FDD"/>
    <w:rsid w:val="007827B5"/>
    <w:rsid w:val="00783D2B"/>
    <w:rsid w:val="0078680F"/>
    <w:rsid w:val="007920D0"/>
    <w:rsid w:val="007A532D"/>
    <w:rsid w:val="007B09A8"/>
    <w:rsid w:val="007C24D4"/>
    <w:rsid w:val="007F77B1"/>
    <w:rsid w:val="0081493C"/>
    <w:rsid w:val="00843FEB"/>
    <w:rsid w:val="00882F80"/>
    <w:rsid w:val="00893878"/>
    <w:rsid w:val="00894A32"/>
    <w:rsid w:val="00894EF9"/>
    <w:rsid w:val="00897038"/>
    <w:rsid w:val="00897A58"/>
    <w:rsid w:val="008A5923"/>
    <w:rsid w:val="008B198F"/>
    <w:rsid w:val="008F04EA"/>
    <w:rsid w:val="00901A38"/>
    <w:rsid w:val="00932FF2"/>
    <w:rsid w:val="0093516E"/>
    <w:rsid w:val="00986FF0"/>
    <w:rsid w:val="0098740C"/>
    <w:rsid w:val="009A1C7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7207C"/>
    <w:rsid w:val="00AB2923"/>
    <w:rsid w:val="00AB5C7D"/>
    <w:rsid w:val="00AE3A91"/>
    <w:rsid w:val="00AE5D8F"/>
    <w:rsid w:val="00B42CCA"/>
    <w:rsid w:val="00B43E48"/>
    <w:rsid w:val="00B55611"/>
    <w:rsid w:val="00B759B3"/>
    <w:rsid w:val="00B97CC1"/>
    <w:rsid w:val="00BA44DB"/>
    <w:rsid w:val="00BE1105"/>
    <w:rsid w:val="00BE41B2"/>
    <w:rsid w:val="00BE4D39"/>
    <w:rsid w:val="00C208CD"/>
    <w:rsid w:val="00C30688"/>
    <w:rsid w:val="00C73F7F"/>
    <w:rsid w:val="00C84C4C"/>
    <w:rsid w:val="00CE2463"/>
    <w:rsid w:val="00D15861"/>
    <w:rsid w:val="00D24C38"/>
    <w:rsid w:val="00D42B01"/>
    <w:rsid w:val="00D60274"/>
    <w:rsid w:val="00D7306B"/>
    <w:rsid w:val="00D95B77"/>
    <w:rsid w:val="00DB7EA4"/>
    <w:rsid w:val="00DF111B"/>
    <w:rsid w:val="00DF78CC"/>
    <w:rsid w:val="00E05A0C"/>
    <w:rsid w:val="00E123EE"/>
    <w:rsid w:val="00E64CAF"/>
    <w:rsid w:val="00E746F4"/>
    <w:rsid w:val="00EB02C8"/>
    <w:rsid w:val="00EB2066"/>
    <w:rsid w:val="00EB5AAA"/>
    <w:rsid w:val="00EB6CC7"/>
    <w:rsid w:val="00ED4B07"/>
    <w:rsid w:val="00F0381A"/>
    <w:rsid w:val="00F2229C"/>
    <w:rsid w:val="00F25DE9"/>
    <w:rsid w:val="00F26B3D"/>
    <w:rsid w:val="00F3414A"/>
    <w:rsid w:val="00F501F6"/>
    <w:rsid w:val="00F6260D"/>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rosreestr.ru/site/open-service/statistika-i-analitika/svedeniya-o-sostoyanii-i-ispolzovanii-zemel/"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kupit-ofis-tulskaya-oblast/" TargetMode="External"/><Relationship Id="rId12" Type="http://schemas.openxmlformats.org/officeDocument/2006/relationships/hyperlink" Target="https://www.opendata71.ru/opendata/7104046595-IndustrialparksTularegion" TargetMode="External"/><Relationship Id="rId2" Type="http://schemas.openxmlformats.org/officeDocument/2006/relationships/hyperlink" Target="http://www.opendata71.ru/opendata/7107548681-investmentprojects"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snyat-torgovuyu-ploshad-tulskaya-oblast/" TargetMode="External"/><Relationship Id="rId11" Type="http://schemas.openxmlformats.org/officeDocument/2006/relationships/hyperlink" Target="https://www.opendata71.ru/opendata/7104046595-investmentareas" TargetMode="External"/><Relationship Id="rId5" Type="http://schemas.openxmlformats.org/officeDocument/2006/relationships/hyperlink" Target="https://tula.cian.ru/kupit-torgovuyu-ploshad-tulskaya-oblast/" TargetMode="External"/><Relationship Id="rId15" Type="http://schemas.openxmlformats.org/officeDocument/2006/relationships/hyperlink" Target="http://fito.openregion71.ru/documents/zemelnie-uchastki-arenda-mun/" TargetMode="External"/><Relationship Id="rId10" Type="http://schemas.openxmlformats.org/officeDocument/2006/relationships/hyperlink" Target="https://tula.cian.ru/cat.php?deal_type=rent&amp;engine_version=2&amp;offer_type=offices&amp;office_type%5B0%5D=3&amp;office_type%5B1%5D=7&amp;region=4621" TargetMode="External"/><Relationship Id="rId4" Type="http://schemas.openxmlformats.org/officeDocument/2006/relationships/hyperlink" Target="https://ru.wikipedia.org/wiki/%D0%9A%D0%B0%D0%B7%D0%B0%D0%BD%D1%81%D0%BA%D0%B0%D1%8F_%D0%BD%D0%B0%D0%B1%D0%B5%D1%80%D0%B5%D0%B6%D0%BD%D0%B0%D1%8F_(%D0%A2%D1%83%D0%BB%D0%B0)" TargetMode="External"/><Relationship Id="rId9" Type="http://schemas.openxmlformats.org/officeDocument/2006/relationships/hyperlink" Target="https://tula.cian.ru/cat.php?deal_type=sale&amp;engine_version=2&amp;offer_type=offices&amp;office_type%5B0%5D=3&amp;office_type%5B1%5D=7&amp;region=4621" TargetMode="External"/><Relationship Id="rId14" Type="http://schemas.openxmlformats.org/officeDocument/2006/relationships/hyperlink" Target="https://tula.cian.ru/cat.php?cats%5B0%5D=commercialLandSale&amp;deal_type=sale&amp;engine_version=2&amp;offer_type=offices&amp;region=46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454-478B-8F89-36E99CF4FA7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454-478B-8F89-36E99CF4FA7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454-478B-8F89-36E99CF4FA7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454-478B-8F89-36E99CF4FA7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454-478B-8F89-36E99CF4FA7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454-478B-8F89-36E99CF4FA7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454-478B-8F89-36E99CF4FA7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454-478B-8F89-36E99CF4FA7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454-478B-8F89-36E99CF4FA7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454-478B-8F89-36E99CF4FA7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ln>
                      <a:noFill/>
                    </a:ln>
                    <a:solidFill>
                      <a:schemeClr val="tx1"/>
                    </a:solidFill>
                    <a:latin typeface="+mn-lt"/>
                    <a:ea typeface="+mn-ea"/>
                    <a:cs typeface="+mn-cs"/>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'Торг продажа'!$C$103:$C$112</c:f>
              <c:strCache>
                <c:ptCount val="10"/>
                <c:pt idx="0">
                  <c:v>Алексинский</c:v>
                </c:pt>
                <c:pt idx="1">
                  <c:v>Белевский</c:v>
                </c:pt>
                <c:pt idx="2">
                  <c:v>Богородицкий</c:v>
                </c:pt>
                <c:pt idx="3">
                  <c:v>Ефремовский</c:v>
                </c:pt>
                <c:pt idx="4">
                  <c:v>Заокский</c:v>
                </c:pt>
                <c:pt idx="5">
                  <c:v>Новомосковский</c:v>
                </c:pt>
                <c:pt idx="6">
                  <c:v>Плавский</c:v>
                </c:pt>
                <c:pt idx="7">
                  <c:v>Тула</c:v>
                </c:pt>
                <c:pt idx="8">
                  <c:v>Узловский</c:v>
                </c:pt>
                <c:pt idx="9">
                  <c:v>Щекинский</c:v>
                </c:pt>
              </c:strCache>
            </c:strRef>
          </c:cat>
          <c:val>
            <c:numRef>
              <c:f>'Торг продажа'!$D$103:$D$112</c:f>
              <c:numCache>
                <c:formatCode>0</c:formatCode>
                <c:ptCount val="10"/>
                <c:pt idx="0">
                  <c:v>7857.9379160136559</c:v>
                </c:pt>
                <c:pt idx="1">
                  <c:v>59768.451519536909</c:v>
                </c:pt>
                <c:pt idx="2">
                  <c:v>21923.076923076922</c:v>
                </c:pt>
                <c:pt idx="3">
                  <c:v>39141.655412112763</c:v>
                </c:pt>
                <c:pt idx="4">
                  <c:v>25723.469453376205</c:v>
                </c:pt>
                <c:pt idx="5">
                  <c:v>62987.54145272031</c:v>
                </c:pt>
                <c:pt idx="6">
                  <c:v>27464.788732394365</c:v>
                </c:pt>
                <c:pt idx="7">
                  <c:v>74786.719538046847</c:v>
                </c:pt>
                <c:pt idx="8">
                  <c:v>118466.89895470384</c:v>
                </c:pt>
                <c:pt idx="9">
                  <c:v>52323.382444557559</c:v>
                </c:pt>
              </c:numCache>
            </c:numRef>
          </c:val>
          <c:extLst>
            <c:ext xmlns:c16="http://schemas.microsoft.com/office/drawing/2014/chart" uri="{C3380CC4-5D6E-409C-BE32-E72D297353CC}">
              <c16:uniqueId val="{00000014-2454-478B-8F89-36E99CF4FA7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ru-RU"/>
        </a:p>
      </c:txPr>
    </c:legend>
    <c:plotVisOnly val="1"/>
    <c:dispBlanksAs val="gap"/>
    <c:showDLblsOverMax val="0"/>
  </c:chart>
  <c:spPr>
    <a:noFill/>
    <a:ln w="3175" cap="flat" cmpd="sng" algn="ctr">
      <a:noFill/>
      <a:round/>
    </a:ln>
    <a:effectLst/>
  </c:spPr>
  <c:txPr>
    <a:bodyPr/>
    <a:lstStyle/>
    <a:p>
      <a:pPr>
        <a:defRPr>
          <a:ln>
            <a:noFill/>
          </a:ln>
          <a:solidFill>
            <a:schemeClr val="tx1"/>
          </a:soli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43-4D92-9E4E-E25DA671FAC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43-4D92-9E4E-E25DA671FAC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43-4D92-9E4E-E25DA671FAC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43-4D92-9E4E-E25DA671FAC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'Земля по типу'!$C$97:$C$100</c:f>
              <c:strCache>
                <c:ptCount val="4"/>
                <c:pt idx="0">
                  <c:v>под объекты торговли</c:v>
                </c:pt>
                <c:pt idx="1">
                  <c:v>другое</c:v>
                </c:pt>
                <c:pt idx="2">
                  <c:v>с/х</c:v>
                </c:pt>
                <c:pt idx="3">
                  <c:v>пром</c:v>
                </c:pt>
              </c:strCache>
            </c:strRef>
          </c:cat>
          <c:val>
            <c:numRef>
              <c:f>'Земля по типу'!$D$97:$D$100</c:f>
              <c:numCache>
                <c:formatCode>0</c:formatCode>
                <c:ptCount val="4"/>
                <c:pt idx="0">
                  <c:v>2150.4497141352831</c:v>
                </c:pt>
                <c:pt idx="1">
                  <c:v>1072.7283071704669</c:v>
                </c:pt>
                <c:pt idx="2">
                  <c:v>16.595470621520256</c:v>
                </c:pt>
                <c:pt idx="3">
                  <c:v>497.78039016990761</c:v>
                </c:pt>
              </c:numCache>
            </c:numRef>
          </c:val>
          <c:extLst>
            <c:ext xmlns:c16="http://schemas.microsoft.com/office/drawing/2014/chart" uri="{C3380CC4-5D6E-409C-BE32-E72D297353CC}">
              <c16:uniqueId val="{00000008-A043-4D92-9E4E-E25DA671FAC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3A-4B60-BF23-EA89F39B73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3A-4B60-BF23-EA89F39B73E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3A-4B60-BF23-EA89F39B73E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'Земля аренда'!$C$38:$C$40</c:f>
              <c:strCache>
                <c:ptCount val="3"/>
                <c:pt idx="0">
                  <c:v>комм</c:v>
                </c:pt>
                <c:pt idx="1">
                  <c:v>пром</c:v>
                </c:pt>
                <c:pt idx="2">
                  <c:v>с/х</c:v>
                </c:pt>
              </c:strCache>
            </c:strRef>
          </c:cat>
          <c:val>
            <c:numRef>
              <c:f>'Земля аренда'!$D$38:$D$40</c:f>
              <c:numCache>
                <c:formatCode>0.0</c:formatCode>
                <c:ptCount val="3"/>
                <c:pt idx="0">
                  <c:v>32.942500000000003</c:v>
                </c:pt>
                <c:pt idx="1">
                  <c:v>31.142857142857142</c:v>
                </c:pt>
                <c:pt idx="2" formatCode="0.00">
                  <c:v>3.1898957255003038E-2</c:v>
                </c:pt>
              </c:numCache>
            </c:numRef>
          </c:val>
          <c:extLst>
            <c:ext xmlns:c16="http://schemas.microsoft.com/office/drawing/2014/chart" uri="{C3380CC4-5D6E-409C-BE32-E72D297353CC}">
              <c16:uniqueId val="{00000006-DE3A-4B60-BF23-EA89F39B73E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49-4340-ADA7-DD624AB0F1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49-4340-ADA7-DD624AB0F1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49-4340-ADA7-DD624AB0F1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49-4340-ADA7-DD624AB0F1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249-4340-ADA7-DD624AB0F1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249-4340-ADA7-DD624AB0F1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249-4340-ADA7-DD624AB0F1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249-4340-ADA7-DD624AB0F19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249-4340-ADA7-DD624AB0F19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'Торг аренда'!$C$209:$C$217</c:f>
              <c:strCache>
                <c:ptCount val="9"/>
                <c:pt idx="0">
                  <c:v>Алексинский</c:v>
                </c:pt>
                <c:pt idx="1">
                  <c:v>Белевский</c:v>
                </c:pt>
                <c:pt idx="2">
                  <c:v>Донской</c:v>
                </c:pt>
                <c:pt idx="3">
                  <c:v>Ефремовский</c:v>
                </c:pt>
                <c:pt idx="4">
                  <c:v>Новомосковский</c:v>
                </c:pt>
                <c:pt idx="5">
                  <c:v>Одоевский</c:v>
                </c:pt>
                <c:pt idx="6">
                  <c:v>Тула</c:v>
                </c:pt>
                <c:pt idx="7">
                  <c:v>Узловской</c:v>
                </c:pt>
                <c:pt idx="8">
                  <c:v>Щекинский</c:v>
                </c:pt>
              </c:strCache>
            </c:strRef>
          </c:cat>
          <c:val>
            <c:numRef>
              <c:f>'Торг аренда'!$D$209:$D$217</c:f>
              <c:numCache>
                <c:formatCode>#,##0</c:formatCode>
                <c:ptCount val="9"/>
                <c:pt idx="0">
                  <c:v>820</c:v>
                </c:pt>
                <c:pt idx="1">
                  <c:v>250.36231884057972</c:v>
                </c:pt>
                <c:pt idx="2">
                  <c:v>529.66666666666663</c:v>
                </c:pt>
                <c:pt idx="3">
                  <c:v>250</c:v>
                </c:pt>
                <c:pt idx="4">
                  <c:v>460.73075714118181</c:v>
                </c:pt>
                <c:pt idx="5">
                  <c:v>354.00505050505052</c:v>
                </c:pt>
                <c:pt idx="6">
                  <c:v>888.65496973936501</c:v>
                </c:pt>
                <c:pt idx="7">
                  <c:v>883.5</c:v>
                </c:pt>
                <c:pt idx="8">
                  <c:v>956.8231611893583</c:v>
                </c:pt>
              </c:numCache>
            </c:numRef>
          </c:val>
          <c:extLst>
            <c:ext xmlns:c16="http://schemas.microsoft.com/office/drawing/2014/chart" uri="{C3380CC4-5D6E-409C-BE32-E72D297353CC}">
              <c16:uniqueId val="{00000012-D249-4340-ADA7-DD624AB0F19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6C-4458-A6D6-6BC2B4B3934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6C-4458-A6D6-6BC2B4B3934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6C-4458-A6D6-6BC2B4B3934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'Офис продажа'!$C$49:$C$51</c:f>
              <c:strCache>
                <c:ptCount val="3"/>
                <c:pt idx="0">
                  <c:v>Новомосковский</c:v>
                </c:pt>
                <c:pt idx="1">
                  <c:v>Суворовский</c:v>
                </c:pt>
                <c:pt idx="2">
                  <c:v>Тула</c:v>
                </c:pt>
              </c:strCache>
            </c:strRef>
          </c:cat>
          <c:val>
            <c:numRef>
              <c:f>'Офис продажа'!$D$49:$D$51</c:f>
              <c:numCache>
                <c:formatCode>#,##0</c:formatCode>
                <c:ptCount val="3"/>
                <c:pt idx="0">
                  <c:v>54621.647991028105</c:v>
                </c:pt>
                <c:pt idx="1">
                  <c:v>4803.405960430754</c:v>
                </c:pt>
                <c:pt idx="2">
                  <c:v>44064.626548395143</c:v>
                </c:pt>
              </c:numCache>
            </c:numRef>
          </c:val>
          <c:extLst>
            <c:ext xmlns:c16="http://schemas.microsoft.com/office/drawing/2014/chart" uri="{C3380CC4-5D6E-409C-BE32-E72D297353CC}">
              <c16:uniqueId val="{00000006-F36C-4458-A6D6-6BC2B4B3934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9B-4E13-AC18-021E372BB22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9B-4E13-AC18-021E372BB22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'Офис аренда'!$C$206:$C$207</c:f>
              <c:strCache>
                <c:ptCount val="2"/>
                <c:pt idx="0">
                  <c:v>Тула</c:v>
                </c:pt>
                <c:pt idx="1">
                  <c:v>Щекинский</c:v>
                </c:pt>
              </c:strCache>
            </c:strRef>
          </c:cat>
          <c:val>
            <c:numRef>
              <c:f>'Офис аренда'!$D$206:$D$207</c:f>
              <c:numCache>
                <c:formatCode>0</c:formatCode>
                <c:ptCount val="2"/>
                <c:pt idx="0">
                  <c:v>565.40655019056169</c:v>
                </c:pt>
                <c:pt idx="1">
                  <c:v>153.84615384615384</c:v>
                </c:pt>
              </c:numCache>
            </c:numRef>
          </c:val>
          <c:extLst>
            <c:ext xmlns:c16="http://schemas.microsoft.com/office/drawing/2014/chart" uri="{C3380CC4-5D6E-409C-BE32-E72D297353CC}">
              <c16:uniqueId val="{00000004-DA9B-4E13-AC18-021E372BB22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3C7-4145-A31D-009F26BA84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3C7-4145-A31D-009F26BA84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3C7-4145-A31D-009F26BA84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3C7-4145-A31D-009F26BA84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3C7-4145-A31D-009F26BA846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3C7-4145-A31D-009F26BA846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3C7-4145-A31D-009F26BA846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3C7-4145-A31D-009F26BA846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3C7-4145-A31D-009F26BA846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3C7-4145-A31D-009F26BA846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3C7-4145-A31D-009F26BA846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A3C7-4145-A31D-009F26BA8469}"/>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A3C7-4145-A31D-009F26BA8469}"/>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3C7-4145-A31D-009F26BA8469}"/>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A3C7-4145-A31D-009F26BA8469}"/>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A3C7-4145-A31D-009F26BA8469}"/>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A3C7-4145-A31D-009F26BA8469}"/>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A3C7-4145-A31D-009F26BA846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'Производство склад продажа'!$C$106:$C$123</c:f>
              <c:strCache>
                <c:ptCount val="18"/>
                <c:pt idx="0">
                  <c:v>Алексинский</c:v>
                </c:pt>
                <c:pt idx="1">
                  <c:v>Веневский</c:v>
                </c:pt>
                <c:pt idx="2">
                  <c:v>Донской</c:v>
                </c:pt>
                <c:pt idx="3">
                  <c:v>Дубенский</c:v>
                </c:pt>
                <c:pt idx="4">
                  <c:v>Ефремовский</c:v>
                </c:pt>
                <c:pt idx="5">
                  <c:v>Заокский</c:v>
                </c:pt>
                <c:pt idx="6">
                  <c:v>Каменский</c:v>
                </c:pt>
                <c:pt idx="7">
                  <c:v>Кимовский</c:v>
                </c:pt>
                <c:pt idx="8">
                  <c:v>Киреевский</c:v>
                </c:pt>
                <c:pt idx="9">
                  <c:v>Ленинский</c:v>
                </c:pt>
                <c:pt idx="10">
                  <c:v>Новомосковский</c:v>
                </c:pt>
                <c:pt idx="11">
                  <c:v>Одоевский</c:v>
                </c:pt>
                <c:pt idx="12">
                  <c:v>Плавский</c:v>
                </c:pt>
                <c:pt idx="13">
                  <c:v>Суворовский</c:v>
                </c:pt>
                <c:pt idx="14">
                  <c:v>Тула</c:v>
                </c:pt>
                <c:pt idx="15">
                  <c:v>Узловской</c:v>
                </c:pt>
                <c:pt idx="16">
                  <c:v>Щекинский</c:v>
                </c:pt>
                <c:pt idx="17">
                  <c:v>Ясногорский</c:v>
                </c:pt>
              </c:strCache>
            </c:strRef>
          </c:cat>
          <c:val>
            <c:numRef>
              <c:f>'Производство склад продажа'!$D$106:$D$123</c:f>
              <c:numCache>
                <c:formatCode>#,##0</c:formatCode>
                <c:ptCount val="18"/>
                <c:pt idx="0">
                  <c:v>2034.4012119841616</c:v>
                </c:pt>
                <c:pt idx="1">
                  <c:v>4219.2936437008948</c:v>
                </c:pt>
                <c:pt idx="2">
                  <c:v>10416.666666666666</c:v>
                </c:pt>
                <c:pt idx="3">
                  <c:v>13200.303684550729</c:v>
                </c:pt>
                <c:pt idx="4">
                  <c:v>19642.859523809526</c:v>
                </c:pt>
                <c:pt idx="5">
                  <c:v>22137.887413029726</c:v>
                </c:pt>
                <c:pt idx="6">
                  <c:v>4200</c:v>
                </c:pt>
                <c:pt idx="7">
                  <c:v>11755.058328552304</c:v>
                </c:pt>
                <c:pt idx="8">
                  <c:v>11755.058328552304</c:v>
                </c:pt>
                <c:pt idx="9">
                  <c:v>11177.104411221186</c:v>
                </c:pt>
                <c:pt idx="10">
                  <c:v>8774.4924130983436</c:v>
                </c:pt>
                <c:pt idx="11">
                  <c:v>11702.127659574468</c:v>
                </c:pt>
                <c:pt idx="12">
                  <c:v>3034.4827586206898</c:v>
                </c:pt>
                <c:pt idx="13">
                  <c:v>7057.1630204657731</c:v>
                </c:pt>
                <c:pt idx="14">
                  <c:v>17697.545042821337</c:v>
                </c:pt>
                <c:pt idx="15">
                  <c:v>13289.426650197482</c:v>
                </c:pt>
                <c:pt idx="16">
                  <c:v>8416.3863172275032</c:v>
                </c:pt>
                <c:pt idx="17">
                  <c:v>9469.7681362569128</c:v>
                </c:pt>
              </c:numCache>
            </c:numRef>
          </c:val>
          <c:extLst>
            <c:ext xmlns:c16="http://schemas.microsoft.com/office/drawing/2014/chart" uri="{C3380CC4-5D6E-409C-BE32-E72D297353CC}">
              <c16:uniqueId val="{00000024-A3C7-4145-A31D-009F26BA846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69-424D-8314-CEA5C43142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69-424D-8314-CEA5C431423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569-424D-8314-CEA5C43142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569-424D-8314-CEA5C431423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569-424D-8314-CEA5C431423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569-424D-8314-CEA5C431423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569-424D-8314-CEA5C431423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569-424D-8314-CEA5C431423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569-424D-8314-CEA5C431423B}"/>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569-424D-8314-CEA5C431423B}"/>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569-424D-8314-CEA5C431423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'Производство склад аренда'!$C$207:$C$217</c:f>
              <c:strCache>
                <c:ptCount val="11"/>
                <c:pt idx="0">
                  <c:v>Арсеньевский</c:v>
                </c:pt>
                <c:pt idx="1">
                  <c:v>Ефремовский</c:v>
                </c:pt>
                <c:pt idx="2">
                  <c:v>Заокский</c:v>
                </c:pt>
                <c:pt idx="3">
                  <c:v>Кимовский</c:v>
                </c:pt>
                <c:pt idx="4">
                  <c:v>Киреевский</c:v>
                </c:pt>
                <c:pt idx="5">
                  <c:v>Ленинский</c:v>
                </c:pt>
                <c:pt idx="6">
                  <c:v>Новомосковский</c:v>
                </c:pt>
                <c:pt idx="7">
                  <c:v>Тула</c:v>
                </c:pt>
                <c:pt idx="8">
                  <c:v>Узловский</c:v>
                </c:pt>
                <c:pt idx="9">
                  <c:v>Щекинский</c:v>
                </c:pt>
                <c:pt idx="10">
                  <c:v>Ясногорский</c:v>
                </c:pt>
              </c:strCache>
            </c:strRef>
          </c:cat>
          <c:val>
            <c:numRef>
              <c:f>'Производство склад аренда'!$D$207:$D$217</c:f>
              <c:numCache>
                <c:formatCode>0</c:formatCode>
                <c:ptCount val="11"/>
                <c:pt idx="0">
                  <c:v>206</c:v>
                </c:pt>
                <c:pt idx="1">
                  <c:v>150</c:v>
                </c:pt>
                <c:pt idx="2">
                  <c:v>64.814932910034557</c:v>
                </c:pt>
                <c:pt idx="3">
                  <c:v>100</c:v>
                </c:pt>
                <c:pt idx="4">
                  <c:v>118</c:v>
                </c:pt>
                <c:pt idx="5">
                  <c:v>139</c:v>
                </c:pt>
                <c:pt idx="6">
                  <c:v>131.28634777701751</c:v>
                </c:pt>
                <c:pt idx="7">
                  <c:v>201.64271487977234</c:v>
                </c:pt>
                <c:pt idx="8">
                  <c:v>164.167</c:v>
                </c:pt>
                <c:pt idx="9">
                  <c:v>184.21052631578948</c:v>
                </c:pt>
                <c:pt idx="10">
                  <c:v>80</c:v>
                </c:pt>
              </c:numCache>
            </c:numRef>
          </c:val>
          <c:extLst>
            <c:ext xmlns:c16="http://schemas.microsoft.com/office/drawing/2014/chart" uri="{C3380CC4-5D6E-409C-BE32-E72D297353CC}">
              <c16:uniqueId val="{00000016-F569-424D-8314-CEA5C431423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334784157005482E-2"/>
          <c:y val="9.2592228054826475E-2"/>
          <c:w val="0.83553880513679513"/>
          <c:h val="0.4928837725450589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6B-4548-BF1D-4AD2FCFFD0E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6B-4548-BF1D-4AD2FCFFD0E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D6B-4548-BF1D-4AD2FCFFD0E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D6B-4548-BF1D-4AD2FCFFD0E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D6B-4548-BF1D-4AD2FCFFD0E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D6B-4548-BF1D-4AD2FCFFD0E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D6B-4548-BF1D-4AD2FCFFD0E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D6B-4548-BF1D-4AD2FCFFD0E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D6B-4548-BF1D-4AD2FCFFD0E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D6B-4548-BF1D-4AD2FCFFD0E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D6B-4548-BF1D-4AD2FCFFD0E8}"/>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9D6B-4548-BF1D-4AD2FCFFD0E8}"/>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9D6B-4548-BF1D-4AD2FCFFD0E8}"/>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9D6B-4548-BF1D-4AD2FCFFD0E8}"/>
              </c:ext>
            </c:extLst>
          </c:dPt>
          <c:dLbls>
            <c:dLbl>
              <c:idx val="1"/>
              <c:layout>
                <c:manualLayout>
                  <c:x val="2.7777777777777779E-3"/>
                  <c:y val="-3.8226299694189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6B-4548-BF1D-4AD2FCFFD0E8}"/>
                </c:ext>
              </c:extLst>
            </c:dLbl>
            <c:dLbl>
              <c:idx val="3"/>
              <c:layout>
                <c:manualLayout>
                  <c:x val="0.05"/>
                  <c:y val="-1.5290519877675841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6.9329833770778657E-2"/>
                      <c:h val="5.9211936237328129E-2"/>
                    </c:manualLayout>
                  </c15:layout>
                </c:ext>
                <c:ext xmlns:c16="http://schemas.microsoft.com/office/drawing/2014/chart" uri="{C3380CC4-5D6E-409C-BE32-E72D297353CC}">
                  <c16:uniqueId val="{00000007-9D6B-4548-BF1D-4AD2FCFFD0E8}"/>
                </c:ext>
              </c:extLst>
            </c:dLbl>
            <c:dLbl>
              <c:idx val="13"/>
              <c:layout>
                <c:manualLayout>
                  <c:x val="-4.1666666666666768E-2"/>
                  <c:y val="-7.64525993883792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D6B-4548-BF1D-4AD2FCFFD0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'Земля продажа'!$C$99:$C$112</c:f>
              <c:strCache>
                <c:ptCount val="14"/>
                <c:pt idx="0">
                  <c:v>Алексинский</c:v>
                </c:pt>
                <c:pt idx="1">
                  <c:v>Белевский</c:v>
                </c:pt>
                <c:pt idx="2">
                  <c:v>Веневский</c:v>
                </c:pt>
                <c:pt idx="3">
                  <c:v>Воловский</c:v>
                </c:pt>
                <c:pt idx="4">
                  <c:v>Заокский</c:v>
                </c:pt>
                <c:pt idx="5">
                  <c:v>Кимовский</c:v>
                </c:pt>
                <c:pt idx="6">
                  <c:v>Ленинский</c:v>
                </c:pt>
                <c:pt idx="7">
                  <c:v>Новомосковский</c:v>
                </c:pt>
                <c:pt idx="8">
                  <c:v>Одоевский</c:v>
                </c:pt>
                <c:pt idx="9">
                  <c:v>Плавский</c:v>
                </c:pt>
                <c:pt idx="10">
                  <c:v>Суворовский</c:v>
                </c:pt>
                <c:pt idx="11">
                  <c:v>Тула</c:v>
                </c:pt>
                <c:pt idx="12">
                  <c:v>Щекинский</c:v>
                </c:pt>
                <c:pt idx="13">
                  <c:v>Ясногорский</c:v>
                </c:pt>
              </c:strCache>
            </c:strRef>
          </c:cat>
          <c:val>
            <c:numRef>
              <c:f>'Земля продажа'!$D$99:$D$112</c:f>
              <c:numCache>
                <c:formatCode>0</c:formatCode>
                <c:ptCount val="14"/>
                <c:pt idx="0">
                  <c:v>45.355510756244122</c:v>
                </c:pt>
                <c:pt idx="1">
                  <c:v>29.5</c:v>
                </c:pt>
                <c:pt idx="2">
                  <c:v>489.37164717895615</c:v>
                </c:pt>
                <c:pt idx="3">
                  <c:v>350</c:v>
                </c:pt>
                <c:pt idx="4">
                  <c:v>1316.7632991956211</c:v>
                </c:pt>
                <c:pt idx="5">
                  <c:v>51.282051282051285</c:v>
                </c:pt>
                <c:pt idx="6">
                  <c:v>1110.573014228625</c:v>
                </c:pt>
                <c:pt idx="7">
                  <c:v>2075.1248164464023</c:v>
                </c:pt>
                <c:pt idx="8">
                  <c:v>3307.6923076923076</c:v>
                </c:pt>
                <c:pt idx="9">
                  <c:v>1500</c:v>
                </c:pt>
                <c:pt idx="10">
                  <c:v>35</c:v>
                </c:pt>
                <c:pt idx="11">
                  <c:v>4334.2212197814488</c:v>
                </c:pt>
                <c:pt idx="12">
                  <c:v>5264.4183773216027</c:v>
                </c:pt>
                <c:pt idx="13">
                  <c:v>766.66666666666663</c:v>
                </c:pt>
              </c:numCache>
            </c:numRef>
          </c:val>
          <c:extLst>
            <c:ext xmlns:c16="http://schemas.microsoft.com/office/drawing/2014/chart" uri="{C3380CC4-5D6E-409C-BE32-E72D297353CC}">
              <c16:uniqueId val="{0000001C-9D6B-4548-BF1D-4AD2FCFFD0E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7C4-4C78-B677-123F2CA4B1B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7C4-4C78-B677-123F2CA4B1B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7C4-4C78-B677-123F2CA4B1B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7C4-4C78-B677-123F2CA4B1B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7C4-4C78-B677-123F2CA4B1B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7C4-4C78-B677-123F2CA4B1B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7C4-4C78-B677-123F2CA4B1B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7C4-4C78-B677-123F2CA4B1B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7C4-4C78-B677-123F2CA4B1B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7C4-4C78-B677-123F2CA4B1B4}"/>
              </c:ext>
            </c:extLst>
          </c:dPt>
          <c:dLbls>
            <c:dLbl>
              <c:idx val="2"/>
              <c:layout>
                <c:manualLayout>
                  <c:x val="0"/>
                  <c:y val="-3.240740740740740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C4-4C78-B677-123F2CA4B1B4}"/>
                </c:ext>
              </c:extLst>
            </c:dLbl>
            <c:dLbl>
              <c:idx val="4"/>
              <c:layout>
                <c:manualLayout>
                  <c:x val="1.9444444444444445E-2"/>
                  <c:y val="2.777777777777773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7C4-4C78-B677-123F2CA4B1B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'Земля продажа'!$C$119:$C$128</c:f>
              <c:strCache>
                <c:ptCount val="10"/>
                <c:pt idx="0">
                  <c:v>Веневский</c:v>
                </c:pt>
                <c:pt idx="1">
                  <c:v>Ефремовский</c:v>
                </c:pt>
                <c:pt idx="2">
                  <c:v>Заокский</c:v>
                </c:pt>
                <c:pt idx="3">
                  <c:v>Кимовский</c:v>
                </c:pt>
                <c:pt idx="4">
                  <c:v>Киреевский</c:v>
                </c:pt>
                <c:pt idx="5">
                  <c:v>Ленинский</c:v>
                </c:pt>
                <c:pt idx="6">
                  <c:v>Новомосковский</c:v>
                </c:pt>
                <c:pt idx="7">
                  <c:v>Тула</c:v>
                </c:pt>
                <c:pt idx="8">
                  <c:v>Узловской</c:v>
                </c:pt>
                <c:pt idx="9">
                  <c:v>Чернский</c:v>
                </c:pt>
              </c:strCache>
            </c:strRef>
          </c:cat>
          <c:val>
            <c:numRef>
              <c:f>'Земля продажа'!$D$119:$D$128</c:f>
              <c:numCache>
                <c:formatCode>0</c:formatCode>
                <c:ptCount val="10"/>
                <c:pt idx="0">
                  <c:v>126.41071428571429</c:v>
                </c:pt>
                <c:pt idx="1">
                  <c:v>399.79423868312756</c:v>
                </c:pt>
                <c:pt idx="2">
                  <c:v>151.35135135135135</c:v>
                </c:pt>
                <c:pt idx="3">
                  <c:v>19.001610305958131</c:v>
                </c:pt>
                <c:pt idx="4">
                  <c:v>236.84210526315789</c:v>
                </c:pt>
                <c:pt idx="5">
                  <c:v>984.12698412698421</c:v>
                </c:pt>
                <c:pt idx="6">
                  <c:v>586.75012827515434</c:v>
                </c:pt>
                <c:pt idx="7">
                  <c:v>858.33333333333326</c:v>
                </c:pt>
                <c:pt idx="8">
                  <c:v>573.77049180327867</c:v>
                </c:pt>
                <c:pt idx="9">
                  <c:v>257.05246506722909</c:v>
                </c:pt>
              </c:numCache>
            </c:numRef>
          </c:val>
          <c:extLst>
            <c:ext xmlns:c16="http://schemas.microsoft.com/office/drawing/2014/chart" uri="{C3380CC4-5D6E-409C-BE32-E72D297353CC}">
              <c16:uniqueId val="{00000014-A7C4-4C78-B677-123F2CA4B1B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4074803149606303E-2"/>
          <c:y val="0.67069680806028276"/>
          <c:w val="0.83185039370078739"/>
          <c:h val="0.239697457172692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11-4E3D-ACB3-323BD6A6CD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11-4E3D-ACB3-323BD6A6CD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11-4E3D-ACB3-323BD6A6CD2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211-4E3D-ACB3-323BD6A6CD2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211-4E3D-ACB3-323BD6A6CD2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211-4E3D-ACB3-323BD6A6CD2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211-4E3D-ACB3-323BD6A6CD2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211-4E3D-ACB3-323BD6A6CD2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211-4E3D-ACB3-323BD6A6CD2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211-4E3D-ACB3-323BD6A6CD2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211-4E3D-ACB3-323BD6A6CD2F}"/>
              </c:ext>
            </c:extLst>
          </c:dPt>
          <c:dLbls>
            <c:spPr>
              <a:solidFill>
                <a:sysClr val="window" lastClr="FFFFFF"/>
              </a:solidFill>
              <a:ln>
                <a:solidFill>
                  <a:sysClr val="windowText" lastClr="000000">
                    <a:lumMod val="25000"/>
                    <a:lumOff val="75000"/>
                  </a:sysClr>
                </a:solidFill>
              </a:ln>
              <a:effectLst/>
            </c:spPr>
            <c:txPr>
              <a:bodyPr rot="0" spcFirstLastPara="1" vertOverflow="overflow" horzOverflow="overflow" vert="horz" wrap="square" lIns="36576" tIns="18288" rIns="54000"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'Земля продажа'!$C$134:$C$144</c:f>
              <c:strCache>
                <c:ptCount val="11"/>
                <c:pt idx="0">
                  <c:v>Алексинский</c:v>
                </c:pt>
                <c:pt idx="1">
                  <c:v>Белевский</c:v>
                </c:pt>
                <c:pt idx="2">
                  <c:v>Веневский</c:v>
                </c:pt>
                <c:pt idx="3">
                  <c:v>Воловский</c:v>
                </c:pt>
                <c:pt idx="4">
                  <c:v>Заокский</c:v>
                </c:pt>
                <c:pt idx="5">
                  <c:v>Кимовский</c:v>
                </c:pt>
                <c:pt idx="6">
                  <c:v>Киреевский</c:v>
                </c:pt>
                <c:pt idx="7">
                  <c:v>Ленинский</c:v>
                </c:pt>
                <c:pt idx="8">
                  <c:v>Новомосковский</c:v>
                </c:pt>
                <c:pt idx="9">
                  <c:v>Плавский</c:v>
                </c:pt>
                <c:pt idx="10">
                  <c:v>Ясногорский</c:v>
                </c:pt>
              </c:strCache>
            </c:strRef>
          </c:cat>
          <c:val>
            <c:numRef>
              <c:f>'Земля продажа'!$D$134:$D$144</c:f>
              <c:numCache>
                <c:formatCode>0</c:formatCode>
                <c:ptCount val="11"/>
                <c:pt idx="0">
                  <c:v>2.7886839408578541</c:v>
                </c:pt>
                <c:pt idx="1">
                  <c:v>9.7826086956521738</c:v>
                </c:pt>
                <c:pt idx="2">
                  <c:v>8.9169251472679267</c:v>
                </c:pt>
                <c:pt idx="3">
                  <c:v>16</c:v>
                </c:pt>
                <c:pt idx="4">
                  <c:v>21.32373693379791</c:v>
                </c:pt>
                <c:pt idx="5">
                  <c:v>2.2000000000000002</c:v>
                </c:pt>
                <c:pt idx="6">
                  <c:v>18.75</c:v>
                </c:pt>
                <c:pt idx="7">
                  <c:v>55.576388888888886</c:v>
                </c:pt>
                <c:pt idx="8">
                  <c:v>26.518952062430323</c:v>
                </c:pt>
                <c:pt idx="9">
                  <c:v>3</c:v>
                </c:pt>
                <c:pt idx="10">
                  <c:v>15.329861111111109</c:v>
                </c:pt>
              </c:numCache>
            </c:numRef>
          </c:val>
          <c:extLst>
            <c:ext xmlns:c16="http://schemas.microsoft.com/office/drawing/2014/chart" uri="{C3380CC4-5D6E-409C-BE32-E72D297353CC}">
              <c16:uniqueId val="{00000016-9211-4E3D-ACB3-323BD6A6CD2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B853-0832-4536-92B3-1AF2C048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Пользователь Windows</cp:lastModifiedBy>
  <cp:revision>2</cp:revision>
  <dcterms:created xsi:type="dcterms:W3CDTF">2019-01-11T12:18:00Z</dcterms:created>
  <dcterms:modified xsi:type="dcterms:W3CDTF">2019-01-11T12:18:00Z</dcterms:modified>
</cp:coreProperties>
</file>