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B1351F" w:rsidRDefault="00B1351F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Неразрывная связь недвижимости с землёй обуславливает прямое влияние на рынок недвижимости региональных социально-экономических и общественно-политических условий и событий</w:t>
      </w:r>
      <w:r w:rsidR="00B71623">
        <w:rPr>
          <w:rFonts w:ascii="Arial" w:hAnsi="Arial" w:cs="Arial"/>
          <w:sz w:val="20"/>
          <w:szCs w:val="20"/>
        </w:rPr>
        <w:t xml:space="preserve">, которые, в свою очередь, зависят от состояния экономики и политической системы страны, </w:t>
      </w:r>
      <w:r w:rsidR="004338CD">
        <w:rPr>
          <w:rFonts w:ascii="Arial" w:hAnsi="Arial" w:cs="Arial"/>
          <w:sz w:val="20"/>
          <w:szCs w:val="20"/>
        </w:rPr>
        <w:t xml:space="preserve">состояния мировой экономики и </w:t>
      </w:r>
      <w:r w:rsidR="00B71623">
        <w:rPr>
          <w:rFonts w:ascii="Arial" w:hAnsi="Arial" w:cs="Arial"/>
          <w:sz w:val="20"/>
          <w:szCs w:val="20"/>
        </w:rPr>
        <w:t>международных отношений</w:t>
      </w:r>
      <w:r w:rsidR="004338CD">
        <w:rPr>
          <w:rFonts w:ascii="Arial" w:hAnsi="Arial" w:cs="Arial"/>
          <w:sz w:val="20"/>
          <w:szCs w:val="20"/>
        </w:rPr>
        <w:t>.</w:t>
      </w:r>
    </w:p>
    <w:p w:rsidR="0053245F" w:rsidRDefault="00660DE2" w:rsidP="001D03C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Сложившееся в последние тридцать лет д</w:t>
      </w:r>
      <w:r w:rsidR="00920C8F">
        <w:rPr>
          <w:rFonts w:ascii="Arial" w:hAnsi="Arial" w:cs="Arial"/>
          <w:sz w:val="20"/>
          <w:szCs w:val="20"/>
        </w:rPr>
        <w:t xml:space="preserve">оминирование </w:t>
      </w:r>
      <w:r w:rsidR="006D65E3">
        <w:rPr>
          <w:rFonts w:ascii="Arial" w:hAnsi="Arial" w:cs="Arial"/>
          <w:sz w:val="20"/>
          <w:szCs w:val="20"/>
        </w:rPr>
        <w:t>США</w:t>
      </w:r>
      <w:r w:rsidR="00920C8F">
        <w:rPr>
          <w:rFonts w:ascii="Arial" w:hAnsi="Arial" w:cs="Arial"/>
          <w:sz w:val="20"/>
          <w:szCs w:val="20"/>
        </w:rPr>
        <w:t xml:space="preserve"> в мировой экономике и финансах, </w:t>
      </w:r>
      <w:r w:rsidR="00EB6AF4">
        <w:rPr>
          <w:rFonts w:ascii="Arial" w:hAnsi="Arial" w:cs="Arial"/>
          <w:sz w:val="20"/>
          <w:szCs w:val="20"/>
        </w:rPr>
        <w:t>стремление к абсолютному контролю над мировыми ресурсами, основанны</w:t>
      </w:r>
      <w:r w:rsidR="00920C8F">
        <w:rPr>
          <w:rFonts w:ascii="Arial" w:hAnsi="Arial" w:cs="Arial"/>
          <w:sz w:val="20"/>
          <w:szCs w:val="20"/>
        </w:rPr>
        <w:t xml:space="preserve">е на </w:t>
      </w:r>
      <w:r w:rsidR="006D65E3">
        <w:rPr>
          <w:rFonts w:ascii="Arial" w:hAnsi="Arial" w:cs="Arial"/>
          <w:sz w:val="20"/>
          <w:szCs w:val="20"/>
        </w:rPr>
        <w:t xml:space="preserve">огромной </w:t>
      </w:r>
      <w:r w:rsidR="00920C8F">
        <w:rPr>
          <w:rFonts w:ascii="Arial" w:hAnsi="Arial" w:cs="Arial"/>
          <w:sz w:val="20"/>
          <w:szCs w:val="20"/>
        </w:rPr>
        <w:t>военной силе</w:t>
      </w:r>
      <w:r w:rsidR="005D500C">
        <w:rPr>
          <w:rFonts w:ascii="Arial" w:hAnsi="Arial" w:cs="Arial"/>
          <w:sz w:val="20"/>
          <w:szCs w:val="20"/>
        </w:rPr>
        <w:t>, финансировании</w:t>
      </w:r>
      <w:r w:rsidR="00EB6AF4">
        <w:rPr>
          <w:rFonts w:ascii="Arial" w:hAnsi="Arial" w:cs="Arial"/>
          <w:sz w:val="20"/>
          <w:szCs w:val="20"/>
        </w:rPr>
        <w:t xml:space="preserve"> экстре</w:t>
      </w:r>
      <w:r w:rsidR="00622B74">
        <w:rPr>
          <w:rFonts w:ascii="Arial" w:hAnsi="Arial" w:cs="Arial"/>
          <w:sz w:val="20"/>
          <w:szCs w:val="20"/>
        </w:rPr>
        <w:t>мистов, нацистов и оранжевых революционеров</w:t>
      </w:r>
      <w:r w:rsidR="00EB6AF4">
        <w:rPr>
          <w:rFonts w:ascii="Arial" w:hAnsi="Arial" w:cs="Arial"/>
          <w:sz w:val="20"/>
          <w:szCs w:val="20"/>
        </w:rPr>
        <w:t xml:space="preserve"> </w:t>
      </w:r>
      <w:r w:rsidR="005D500C">
        <w:rPr>
          <w:rFonts w:ascii="Arial" w:hAnsi="Arial" w:cs="Arial"/>
          <w:sz w:val="20"/>
          <w:szCs w:val="20"/>
        </w:rPr>
        <w:t xml:space="preserve">стали </w:t>
      </w:r>
      <w:r w:rsidR="00CE3E8F">
        <w:rPr>
          <w:rFonts w:ascii="Arial" w:hAnsi="Arial" w:cs="Arial"/>
          <w:sz w:val="20"/>
          <w:szCs w:val="20"/>
        </w:rPr>
        <w:t xml:space="preserve">для Америки </w:t>
      </w:r>
      <w:r>
        <w:rPr>
          <w:rFonts w:ascii="Arial" w:hAnsi="Arial" w:cs="Arial"/>
          <w:sz w:val="20"/>
          <w:szCs w:val="20"/>
        </w:rPr>
        <w:t xml:space="preserve">привычной практикой </w:t>
      </w:r>
      <w:r w:rsidR="00CE3E8F">
        <w:rPr>
          <w:rFonts w:ascii="Arial" w:hAnsi="Arial" w:cs="Arial"/>
          <w:sz w:val="20"/>
          <w:szCs w:val="20"/>
        </w:rPr>
        <w:t xml:space="preserve">международного поведения. </w:t>
      </w:r>
      <w:r>
        <w:rPr>
          <w:rFonts w:ascii="Arial" w:hAnsi="Arial" w:cs="Arial"/>
          <w:sz w:val="20"/>
          <w:szCs w:val="20"/>
        </w:rPr>
        <w:t xml:space="preserve">Незаконные с </w:t>
      </w:r>
      <w:r w:rsidR="005D500C">
        <w:rPr>
          <w:rFonts w:ascii="Arial" w:hAnsi="Arial" w:cs="Arial"/>
          <w:sz w:val="20"/>
          <w:szCs w:val="20"/>
        </w:rPr>
        <w:t>позиции</w:t>
      </w:r>
      <w:r>
        <w:rPr>
          <w:rFonts w:ascii="Arial" w:hAnsi="Arial" w:cs="Arial"/>
          <w:sz w:val="20"/>
          <w:szCs w:val="20"/>
        </w:rPr>
        <w:t xml:space="preserve"> международного права попытки дискредитации и санкционное блокирование, б</w:t>
      </w:r>
      <w:r w:rsidR="00F951C0">
        <w:rPr>
          <w:rFonts w:ascii="Arial" w:hAnsi="Arial" w:cs="Arial"/>
          <w:sz w:val="20"/>
          <w:szCs w:val="20"/>
        </w:rPr>
        <w:t xml:space="preserve">есцеремонное вытеснение </w:t>
      </w:r>
      <w:r w:rsidR="00CE3E8F">
        <w:rPr>
          <w:rFonts w:ascii="Arial" w:hAnsi="Arial" w:cs="Arial"/>
          <w:sz w:val="20"/>
          <w:szCs w:val="20"/>
        </w:rPr>
        <w:t xml:space="preserve">России </w:t>
      </w:r>
      <w:r w:rsidR="00F951C0">
        <w:rPr>
          <w:rFonts w:ascii="Arial" w:hAnsi="Arial" w:cs="Arial"/>
          <w:sz w:val="20"/>
          <w:szCs w:val="20"/>
        </w:rPr>
        <w:t>с европейского рынка потребления</w:t>
      </w:r>
      <w:r>
        <w:rPr>
          <w:rFonts w:ascii="Arial" w:hAnsi="Arial" w:cs="Arial"/>
          <w:sz w:val="20"/>
          <w:szCs w:val="20"/>
        </w:rPr>
        <w:t xml:space="preserve"> энергоресурсов</w:t>
      </w:r>
      <w:r w:rsidR="00F951C0">
        <w:rPr>
          <w:rFonts w:ascii="Arial" w:hAnsi="Arial" w:cs="Arial"/>
          <w:sz w:val="20"/>
          <w:szCs w:val="20"/>
        </w:rPr>
        <w:t xml:space="preserve"> </w:t>
      </w:r>
      <w:r w:rsidR="00461143">
        <w:rPr>
          <w:rFonts w:ascii="Arial" w:hAnsi="Arial" w:cs="Arial"/>
          <w:sz w:val="20"/>
          <w:szCs w:val="20"/>
        </w:rPr>
        <w:t xml:space="preserve">достигли предела, грозящего </w:t>
      </w:r>
      <w:r w:rsidR="00CE3E8F">
        <w:rPr>
          <w:rFonts w:ascii="Arial" w:hAnsi="Arial" w:cs="Arial"/>
          <w:sz w:val="20"/>
          <w:szCs w:val="20"/>
        </w:rPr>
        <w:t xml:space="preserve">экономике и </w:t>
      </w:r>
      <w:r w:rsidR="001544DF">
        <w:rPr>
          <w:rFonts w:ascii="Arial" w:hAnsi="Arial" w:cs="Arial"/>
          <w:sz w:val="20"/>
          <w:szCs w:val="20"/>
        </w:rPr>
        <w:t xml:space="preserve">дальнейшему </w:t>
      </w:r>
      <w:r w:rsidR="005D500C">
        <w:rPr>
          <w:rFonts w:ascii="Arial" w:hAnsi="Arial" w:cs="Arial"/>
          <w:sz w:val="20"/>
          <w:szCs w:val="20"/>
        </w:rPr>
        <w:t>развитию</w:t>
      </w:r>
      <w:r w:rsidR="00F951C0">
        <w:rPr>
          <w:rFonts w:ascii="Arial" w:hAnsi="Arial" w:cs="Arial"/>
          <w:sz w:val="20"/>
          <w:szCs w:val="20"/>
        </w:rPr>
        <w:t xml:space="preserve"> </w:t>
      </w:r>
      <w:r w:rsidR="00CE3E8F">
        <w:rPr>
          <w:rFonts w:ascii="Arial" w:hAnsi="Arial" w:cs="Arial"/>
          <w:sz w:val="20"/>
          <w:szCs w:val="20"/>
        </w:rPr>
        <w:t xml:space="preserve">российского общества. </w:t>
      </w:r>
      <w:r w:rsidR="001544DF">
        <w:rPr>
          <w:rFonts w:ascii="Arial" w:hAnsi="Arial" w:cs="Arial"/>
          <w:sz w:val="20"/>
          <w:szCs w:val="20"/>
        </w:rPr>
        <w:t>Это вызвало</w:t>
      </w:r>
      <w:r w:rsidR="00CE3E8F">
        <w:rPr>
          <w:rFonts w:ascii="Arial" w:hAnsi="Arial" w:cs="Arial"/>
          <w:sz w:val="20"/>
          <w:szCs w:val="20"/>
        </w:rPr>
        <w:t xml:space="preserve"> неприятие и противодействие со стороны России. </w:t>
      </w:r>
      <w:r w:rsidR="00B400FD">
        <w:rPr>
          <w:rFonts w:ascii="Arial" w:hAnsi="Arial" w:cs="Arial"/>
          <w:sz w:val="20"/>
          <w:szCs w:val="20"/>
        </w:rPr>
        <w:t>Неподчинение политике и давлению США</w:t>
      </w:r>
      <w:r w:rsidR="004338CD">
        <w:rPr>
          <w:rFonts w:ascii="Arial" w:hAnsi="Arial" w:cs="Arial"/>
          <w:sz w:val="20"/>
          <w:szCs w:val="20"/>
        </w:rPr>
        <w:t xml:space="preserve"> </w:t>
      </w:r>
      <w:r w:rsidR="00B400FD">
        <w:rPr>
          <w:rFonts w:ascii="Arial" w:hAnsi="Arial" w:cs="Arial"/>
          <w:sz w:val="20"/>
          <w:szCs w:val="20"/>
        </w:rPr>
        <w:t xml:space="preserve">привело к </w:t>
      </w:r>
      <w:r w:rsidR="00622B74">
        <w:rPr>
          <w:rFonts w:ascii="Arial" w:hAnsi="Arial" w:cs="Arial"/>
          <w:sz w:val="20"/>
          <w:szCs w:val="20"/>
        </w:rPr>
        <w:t>небывалому обострению отношений между нашими странами и ухудшению</w:t>
      </w:r>
      <w:r w:rsidR="00B400FD">
        <w:rPr>
          <w:rFonts w:ascii="Arial" w:hAnsi="Arial" w:cs="Arial"/>
          <w:sz w:val="20"/>
          <w:szCs w:val="20"/>
        </w:rPr>
        <w:t xml:space="preserve"> всей международной обстановки</w:t>
      </w:r>
      <w:r w:rsidR="00B74479">
        <w:rPr>
          <w:rFonts w:ascii="Arial" w:hAnsi="Arial" w:cs="Arial"/>
          <w:sz w:val="20"/>
          <w:szCs w:val="20"/>
        </w:rPr>
        <w:t>.</w:t>
      </w:r>
      <w:r w:rsidR="001D03C3">
        <w:rPr>
          <w:rFonts w:ascii="Arial" w:hAnsi="Arial" w:cs="Arial"/>
          <w:sz w:val="20"/>
          <w:szCs w:val="20"/>
        </w:rPr>
        <w:t xml:space="preserve"> </w:t>
      </w:r>
      <w:r w:rsidR="00EE1F0B">
        <w:rPr>
          <w:rFonts w:ascii="Arial" w:hAnsi="Arial" w:cs="Arial"/>
          <w:sz w:val="20"/>
          <w:szCs w:val="20"/>
        </w:rPr>
        <w:t>Нарастают конфликты в Северной Африке, на Ближнем Востоке, в Латинской Америке, развиваются и углубляются противоречия в Европе и азиатско</w:t>
      </w:r>
      <w:r w:rsidR="005D500C">
        <w:rPr>
          <w:rFonts w:ascii="Arial" w:hAnsi="Arial" w:cs="Arial"/>
          <w:sz w:val="20"/>
          <w:szCs w:val="20"/>
        </w:rPr>
        <w:t>-тихоокеанском</w:t>
      </w:r>
      <w:r w:rsidR="00EE1F0B">
        <w:rPr>
          <w:rFonts w:ascii="Arial" w:hAnsi="Arial" w:cs="Arial"/>
          <w:sz w:val="20"/>
          <w:szCs w:val="20"/>
        </w:rPr>
        <w:t xml:space="preserve"> регионе.</w:t>
      </w:r>
      <w:r w:rsidR="007E627D" w:rsidRPr="007E627D">
        <w:rPr>
          <w:rFonts w:ascii="Arial" w:hAnsi="Arial" w:cs="Arial"/>
          <w:sz w:val="20"/>
          <w:szCs w:val="20"/>
        </w:rPr>
        <w:t xml:space="preserve"> </w:t>
      </w:r>
      <w:r w:rsidR="007E627D">
        <w:rPr>
          <w:rFonts w:ascii="Arial" w:hAnsi="Arial" w:cs="Arial"/>
          <w:sz w:val="20"/>
          <w:szCs w:val="20"/>
        </w:rPr>
        <w:t xml:space="preserve">Доллар, международная система расчётов </w:t>
      </w:r>
      <w:r w:rsidR="007E627D">
        <w:rPr>
          <w:rFonts w:ascii="Arial" w:hAnsi="Arial" w:cs="Arial"/>
          <w:sz w:val="20"/>
          <w:szCs w:val="20"/>
          <w:lang w:val="en-US"/>
        </w:rPr>
        <w:t>SWIFT</w:t>
      </w:r>
      <w:r w:rsidR="007E627D" w:rsidRPr="008E7AB4">
        <w:rPr>
          <w:rFonts w:ascii="Arial" w:hAnsi="Arial" w:cs="Arial"/>
          <w:sz w:val="20"/>
          <w:szCs w:val="20"/>
        </w:rPr>
        <w:t xml:space="preserve"> </w:t>
      </w:r>
      <w:r w:rsidR="007E627D">
        <w:rPr>
          <w:rFonts w:ascii="Arial" w:hAnsi="Arial" w:cs="Arial"/>
          <w:sz w:val="20"/>
          <w:szCs w:val="20"/>
        </w:rPr>
        <w:t xml:space="preserve">и Всемирный банк фактически стали </w:t>
      </w:r>
      <w:r w:rsidR="00B30D36">
        <w:rPr>
          <w:rFonts w:ascii="Arial" w:hAnsi="Arial" w:cs="Arial"/>
          <w:sz w:val="20"/>
          <w:szCs w:val="20"/>
        </w:rPr>
        <w:t xml:space="preserve">для Запада </w:t>
      </w:r>
      <w:r w:rsidR="007E627D">
        <w:rPr>
          <w:rFonts w:ascii="Arial" w:hAnsi="Arial" w:cs="Arial"/>
          <w:sz w:val="20"/>
          <w:szCs w:val="20"/>
        </w:rPr>
        <w:t xml:space="preserve">инструментами давления </w:t>
      </w:r>
      <w:r w:rsidR="005D500C">
        <w:rPr>
          <w:rFonts w:ascii="Arial" w:hAnsi="Arial" w:cs="Arial"/>
          <w:sz w:val="20"/>
          <w:szCs w:val="20"/>
        </w:rPr>
        <w:t xml:space="preserve">и контроля </w:t>
      </w:r>
      <w:r w:rsidR="007E627D">
        <w:rPr>
          <w:rFonts w:ascii="Arial" w:hAnsi="Arial" w:cs="Arial"/>
          <w:sz w:val="20"/>
          <w:szCs w:val="20"/>
        </w:rPr>
        <w:t>на</w:t>
      </w:r>
      <w:r w:rsidR="005D500C">
        <w:rPr>
          <w:rFonts w:ascii="Arial" w:hAnsi="Arial" w:cs="Arial"/>
          <w:sz w:val="20"/>
          <w:szCs w:val="20"/>
        </w:rPr>
        <w:t>д остальными странами</w:t>
      </w:r>
      <w:r w:rsidR="007E627D">
        <w:rPr>
          <w:rFonts w:ascii="Arial" w:hAnsi="Arial" w:cs="Arial"/>
          <w:sz w:val="20"/>
          <w:szCs w:val="20"/>
        </w:rPr>
        <w:t>.</w:t>
      </w:r>
    </w:p>
    <w:p w:rsidR="007E627D" w:rsidRDefault="00EE1F0B" w:rsidP="005D5B1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Сегодня </w:t>
      </w:r>
      <w:r w:rsidR="0066087E" w:rsidRPr="001544DF">
        <w:rPr>
          <w:rFonts w:ascii="Arial" w:hAnsi="Arial" w:cs="Arial"/>
          <w:bCs/>
          <w:sz w:val="20"/>
          <w:szCs w:val="20"/>
        </w:rPr>
        <w:t>Росси</w:t>
      </w:r>
      <w:r w:rsidR="0097405C" w:rsidRPr="001544DF">
        <w:rPr>
          <w:rFonts w:ascii="Arial" w:hAnsi="Arial" w:cs="Arial"/>
          <w:bCs/>
          <w:sz w:val="20"/>
          <w:szCs w:val="20"/>
        </w:rPr>
        <w:t>я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97405C" w:rsidRPr="001544DF">
        <w:rPr>
          <w:rFonts w:ascii="Arial" w:hAnsi="Arial" w:cs="Arial"/>
          <w:bCs/>
          <w:sz w:val="20"/>
          <w:szCs w:val="20"/>
        </w:rPr>
        <w:t xml:space="preserve">вынуждена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искать пути диверсификации экономических отношений в направлении других стран (Китай, Индия, </w:t>
      </w:r>
      <w:r w:rsidR="00B5042C" w:rsidRPr="001544DF">
        <w:rPr>
          <w:rFonts w:ascii="Arial" w:hAnsi="Arial" w:cs="Arial"/>
          <w:bCs/>
          <w:sz w:val="20"/>
          <w:szCs w:val="20"/>
        </w:rPr>
        <w:t xml:space="preserve">Турция, </w:t>
      </w:r>
      <w:r w:rsidR="006A2B00">
        <w:rPr>
          <w:rFonts w:ascii="Arial" w:hAnsi="Arial" w:cs="Arial"/>
          <w:bCs/>
          <w:sz w:val="20"/>
          <w:szCs w:val="20"/>
        </w:rPr>
        <w:t xml:space="preserve">Япония, </w:t>
      </w:r>
      <w:r w:rsidR="0066087E" w:rsidRPr="001544DF">
        <w:rPr>
          <w:rFonts w:ascii="Arial" w:hAnsi="Arial" w:cs="Arial"/>
          <w:bCs/>
          <w:sz w:val="20"/>
          <w:szCs w:val="20"/>
        </w:rPr>
        <w:t>Иран, Корея, Бразилия, ЮАР, Венесуэла и другие), а также восстанавливать и углублять отношения со странами ЕврАзЭс (Армения, Белоруссия, Казахстан, Киргизия) и другими среднеазиатскими республиками (Азерба</w:t>
      </w:r>
      <w:r w:rsidR="00791E08" w:rsidRPr="001544DF">
        <w:rPr>
          <w:rFonts w:ascii="Arial" w:hAnsi="Arial" w:cs="Arial"/>
          <w:bCs/>
          <w:sz w:val="20"/>
          <w:szCs w:val="20"/>
        </w:rPr>
        <w:t>йджан, Таджикистан, Узбекистан), идти по пути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791E08" w:rsidRPr="001544DF">
        <w:rPr>
          <w:rFonts w:ascii="Arial" w:hAnsi="Arial" w:cs="Arial"/>
          <w:bCs/>
          <w:sz w:val="20"/>
          <w:szCs w:val="20"/>
        </w:rPr>
        <w:t>импортозамещения товаров</w:t>
      </w:r>
      <w:r w:rsidR="00194A92">
        <w:rPr>
          <w:rFonts w:ascii="Arial" w:hAnsi="Arial" w:cs="Arial"/>
          <w:bCs/>
          <w:sz w:val="20"/>
          <w:szCs w:val="20"/>
        </w:rPr>
        <w:t>, р</w:t>
      </w:r>
      <w:r w:rsidR="00D72A0A" w:rsidRPr="001544DF">
        <w:rPr>
          <w:rFonts w:ascii="Arial" w:hAnsi="Arial" w:cs="Arial"/>
          <w:bCs/>
          <w:sz w:val="20"/>
          <w:szCs w:val="20"/>
        </w:rPr>
        <w:t>азвива</w:t>
      </w:r>
      <w:r w:rsidR="00194A92">
        <w:rPr>
          <w:rFonts w:ascii="Arial" w:hAnsi="Arial" w:cs="Arial"/>
          <w:bCs/>
          <w:sz w:val="20"/>
          <w:szCs w:val="20"/>
        </w:rPr>
        <w:t>ть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финансовы</w:t>
      </w:r>
      <w:r w:rsidR="00D72A0A" w:rsidRPr="001544DF">
        <w:rPr>
          <w:rFonts w:ascii="Arial" w:hAnsi="Arial" w:cs="Arial"/>
          <w:bCs/>
          <w:sz w:val="20"/>
          <w:szCs w:val="20"/>
        </w:rPr>
        <w:t>е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механизм</w:t>
      </w:r>
      <w:r w:rsidR="00D72A0A" w:rsidRPr="001544DF">
        <w:rPr>
          <w:rFonts w:ascii="Arial" w:hAnsi="Arial" w:cs="Arial"/>
          <w:bCs/>
          <w:sz w:val="20"/>
          <w:szCs w:val="20"/>
        </w:rPr>
        <w:t>ы</w:t>
      </w:r>
      <w:r w:rsidR="0066087E" w:rsidRPr="001544DF">
        <w:rPr>
          <w:rFonts w:ascii="Arial" w:hAnsi="Arial" w:cs="Arial"/>
          <w:bCs/>
          <w:sz w:val="20"/>
          <w:szCs w:val="20"/>
        </w:rPr>
        <w:t>, сни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жающие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роль западных валют в </w:t>
      </w:r>
      <w:r w:rsidR="00194A92">
        <w:rPr>
          <w:rFonts w:ascii="Arial" w:hAnsi="Arial" w:cs="Arial"/>
          <w:bCs/>
          <w:sz w:val="20"/>
          <w:szCs w:val="20"/>
        </w:rPr>
        <w:t>международных расчётах</w:t>
      </w:r>
      <w:r w:rsidR="00D72A0A" w:rsidRPr="001544DF">
        <w:rPr>
          <w:rFonts w:ascii="Arial" w:hAnsi="Arial" w:cs="Arial"/>
          <w:bCs/>
          <w:sz w:val="20"/>
          <w:szCs w:val="20"/>
        </w:rPr>
        <w:t>, снижа</w:t>
      </w:r>
      <w:r w:rsidR="00194A92">
        <w:rPr>
          <w:rFonts w:ascii="Arial" w:hAnsi="Arial" w:cs="Arial"/>
          <w:bCs/>
          <w:sz w:val="20"/>
          <w:szCs w:val="20"/>
        </w:rPr>
        <w:t>ть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финансов</w:t>
      </w:r>
      <w:r w:rsidR="00194A92">
        <w:rPr>
          <w:rFonts w:ascii="Arial" w:hAnsi="Arial" w:cs="Arial"/>
          <w:bCs/>
          <w:sz w:val="20"/>
          <w:szCs w:val="20"/>
        </w:rPr>
        <w:t>ую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зависимость от Запада</w:t>
      </w:r>
      <w:r w:rsidR="0097405C" w:rsidRPr="001544DF">
        <w:rPr>
          <w:rFonts w:ascii="Arial" w:hAnsi="Arial" w:cs="Arial"/>
          <w:bCs/>
          <w:sz w:val="20"/>
          <w:szCs w:val="20"/>
        </w:rPr>
        <w:t>.</w:t>
      </w:r>
      <w:r w:rsidR="00C2413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A2B00" w:rsidRPr="006A2B00">
        <w:rPr>
          <w:rFonts w:ascii="Arial" w:hAnsi="Arial" w:cs="Arial"/>
          <w:sz w:val="20"/>
          <w:szCs w:val="20"/>
        </w:rPr>
        <w:t xml:space="preserve">После принятия США </w:t>
      </w:r>
      <w:r w:rsidR="0096677E">
        <w:rPr>
          <w:rFonts w:ascii="Arial" w:hAnsi="Arial" w:cs="Arial"/>
          <w:sz w:val="20"/>
          <w:szCs w:val="20"/>
        </w:rPr>
        <w:t xml:space="preserve">очередных </w:t>
      </w:r>
      <w:r w:rsidR="006A2B00" w:rsidRPr="006A2B00">
        <w:rPr>
          <w:rFonts w:ascii="Arial" w:hAnsi="Arial" w:cs="Arial"/>
          <w:sz w:val="20"/>
          <w:szCs w:val="20"/>
        </w:rPr>
        <w:t xml:space="preserve">санкций против </w:t>
      </w:r>
      <w:r w:rsidR="008E7AB4">
        <w:rPr>
          <w:rFonts w:ascii="Arial" w:hAnsi="Arial" w:cs="Arial"/>
          <w:sz w:val="20"/>
          <w:szCs w:val="20"/>
        </w:rPr>
        <w:t>нашей страны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>МИД</w:t>
      </w:r>
      <w:r w:rsidR="003B4CC6" w:rsidRPr="003B4CC6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 xml:space="preserve">РФ </w:t>
      </w:r>
      <w:r w:rsidR="00194A92">
        <w:rPr>
          <w:rFonts w:ascii="Arial" w:hAnsi="Arial" w:cs="Arial"/>
          <w:sz w:val="20"/>
          <w:szCs w:val="20"/>
        </w:rPr>
        <w:t>заявил</w:t>
      </w:r>
      <w:r w:rsidR="003B4CC6">
        <w:rPr>
          <w:rFonts w:ascii="Arial" w:hAnsi="Arial" w:cs="Arial"/>
          <w:sz w:val="20"/>
          <w:szCs w:val="20"/>
        </w:rPr>
        <w:t>, что это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>заставляет Москву двигаться в направлении</w:t>
      </w:r>
      <w:r w:rsidR="008E7AB4">
        <w:rPr>
          <w:rFonts w:ascii="Arial" w:hAnsi="Arial" w:cs="Arial"/>
          <w:sz w:val="20"/>
          <w:szCs w:val="20"/>
        </w:rPr>
        <w:t xml:space="preserve"> создания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8E7AB4">
        <w:rPr>
          <w:rFonts w:ascii="Arial" w:hAnsi="Arial" w:cs="Arial"/>
          <w:sz w:val="20"/>
          <w:szCs w:val="20"/>
        </w:rPr>
        <w:t>системы международных расчётов</w:t>
      </w:r>
      <w:r w:rsidR="003B4CC6">
        <w:rPr>
          <w:rFonts w:ascii="Arial" w:hAnsi="Arial" w:cs="Arial"/>
          <w:sz w:val="20"/>
          <w:szCs w:val="20"/>
        </w:rPr>
        <w:t xml:space="preserve">, которая позволит исключить </w:t>
      </w:r>
      <w:r w:rsidR="006A2B00" w:rsidRPr="006A2B00">
        <w:rPr>
          <w:rFonts w:ascii="Arial" w:hAnsi="Arial" w:cs="Arial"/>
          <w:sz w:val="20"/>
          <w:szCs w:val="20"/>
        </w:rPr>
        <w:t xml:space="preserve">доллар </w:t>
      </w:r>
      <w:r w:rsidR="006778FD">
        <w:rPr>
          <w:rFonts w:ascii="Arial" w:hAnsi="Arial" w:cs="Arial"/>
          <w:sz w:val="20"/>
          <w:szCs w:val="20"/>
        </w:rPr>
        <w:t>при расчётах</w:t>
      </w:r>
      <w:r w:rsidR="006A2B00" w:rsidRPr="006A2B00">
        <w:rPr>
          <w:rFonts w:ascii="Arial" w:hAnsi="Arial" w:cs="Arial"/>
          <w:sz w:val="20"/>
          <w:szCs w:val="20"/>
        </w:rPr>
        <w:t>.</w:t>
      </w:r>
      <w:r w:rsidR="0096677E">
        <w:rPr>
          <w:rFonts w:ascii="Arial" w:hAnsi="Arial" w:cs="Arial"/>
          <w:sz w:val="20"/>
          <w:szCs w:val="20"/>
        </w:rPr>
        <w:t xml:space="preserve"> В рамках переговоров стран БРИКС прорабаты</w:t>
      </w:r>
      <w:r w:rsidR="006778FD">
        <w:rPr>
          <w:rFonts w:ascii="Arial" w:hAnsi="Arial" w:cs="Arial"/>
          <w:sz w:val="20"/>
          <w:szCs w:val="20"/>
        </w:rPr>
        <w:t xml:space="preserve">ваются </w:t>
      </w:r>
      <w:r w:rsidR="0096677E">
        <w:rPr>
          <w:rFonts w:ascii="Arial" w:hAnsi="Arial" w:cs="Arial"/>
          <w:sz w:val="20"/>
          <w:szCs w:val="20"/>
        </w:rPr>
        <w:t xml:space="preserve">направления </w:t>
      </w:r>
      <w:r w:rsidR="003C3D67">
        <w:rPr>
          <w:rFonts w:ascii="Arial" w:hAnsi="Arial" w:cs="Arial"/>
          <w:sz w:val="20"/>
          <w:szCs w:val="20"/>
        </w:rPr>
        <w:t xml:space="preserve">по </w:t>
      </w:r>
      <w:r w:rsidR="008E7AB4">
        <w:rPr>
          <w:rFonts w:ascii="Arial" w:hAnsi="Arial" w:cs="Arial"/>
          <w:sz w:val="20"/>
          <w:szCs w:val="20"/>
        </w:rPr>
        <w:t>созданию</w:t>
      </w:r>
      <w:r w:rsidR="003B4CC6">
        <w:rPr>
          <w:rFonts w:ascii="Arial" w:hAnsi="Arial" w:cs="Arial"/>
          <w:sz w:val="20"/>
          <w:szCs w:val="20"/>
        </w:rPr>
        <w:t xml:space="preserve"> системы взаимных </w:t>
      </w:r>
      <w:r w:rsidR="008E7AB4">
        <w:rPr>
          <w:rFonts w:ascii="Arial" w:hAnsi="Arial" w:cs="Arial"/>
          <w:sz w:val="20"/>
          <w:szCs w:val="20"/>
        </w:rPr>
        <w:t>платежей и передачи банковской информации</w:t>
      </w:r>
      <w:r w:rsidR="00B30D36">
        <w:rPr>
          <w:rFonts w:ascii="Arial" w:hAnsi="Arial" w:cs="Arial"/>
          <w:sz w:val="20"/>
          <w:szCs w:val="20"/>
        </w:rPr>
        <w:t xml:space="preserve">, </w:t>
      </w:r>
      <w:r w:rsidR="006778FD">
        <w:rPr>
          <w:rFonts w:ascii="Arial" w:hAnsi="Arial" w:cs="Arial"/>
          <w:sz w:val="20"/>
          <w:szCs w:val="20"/>
        </w:rPr>
        <w:t xml:space="preserve">альтернативной </w:t>
      </w:r>
      <w:r w:rsidR="006778FD">
        <w:rPr>
          <w:rFonts w:ascii="Arial" w:hAnsi="Arial" w:cs="Arial"/>
          <w:sz w:val="20"/>
          <w:szCs w:val="20"/>
          <w:lang w:val="en-US"/>
        </w:rPr>
        <w:t>SWIFT</w:t>
      </w:r>
      <w:r w:rsidR="004E4A1A">
        <w:rPr>
          <w:rFonts w:ascii="Arial" w:hAnsi="Arial" w:cs="Arial"/>
          <w:sz w:val="20"/>
          <w:szCs w:val="20"/>
        </w:rPr>
        <w:t xml:space="preserve">, </w:t>
      </w:r>
      <w:r w:rsidR="006778FD">
        <w:rPr>
          <w:rFonts w:ascii="Arial" w:hAnsi="Arial" w:cs="Arial"/>
          <w:sz w:val="20"/>
          <w:szCs w:val="20"/>
        </w:rPr>
        <w:t xml:space="preserve">по созданию </w:t>
      </w:r>
      <w:r w:rsidR="003C3D67">
        <w:rPr>
          <w:rFonts w:ascii="Arial" w:hAnsi="Arial" w:cs="Arial"/>
          <w:sz w:val="20"/>
          <w:szCs w:val="20"/>
        </w:rPr>
        <w:t>международного</w:t>
      </w:r>
      <w:r w:rsidR="008E7AB4">
        <w:rPr>
          <w:rFonts w:ascii="Arial" w:hAnsi="Arial" w:cs="Arial"/>
          <w:sz w:val="20"/>
          <w:szCs w:val="20"/>
        </w:rPr>
        <w:t xml:space="preserve"> банка</w:t>
      </w:r>
      <w:r w:rsidR="003C3D67">
        <w:rPr>
          <w:rFonts w:ascii="Arial" w:hAnsi="Arial" w:cs="Arial"/>
          <w:sz w:val="20"/>
          <w:szCs w:val="20"/>
        </w:rPr>
        <w:t>, альтернативного Всемирному банку</w:t>
      </w:r>
      <w:r w:rsidR="006778FD">
        <w:rPr>
          <w:rFonts w:ascii="Arial" w:hAnsi="Arial" w:cs="Arial"/>
          <w:sz w:val="20"/>
          <w:szCs w:val="20"/>
        </w:rPr>
        <w:t xml:space="preserve"> (</w:t>
      </w:r>
      <w:r w:rsidR="003C3D67">
        <w:rPr>
          <w:rFonts w:ascii="Arial" w:hAnsi="Arial" w:cs="Arial"/>
          <w:sz w:val="20"/>
          <w:szCs w:val="20"/>
        </w:rPr>
        <w:t xml:space="preserve">фактически </w:t>
      </w:r>
      <w:r w:rsidR="008E7AB4">
        <w:rPr>
          <w:rFonts w:ascii="Arial" w:hAnsi="Arial" w:cs="Arial"/>
          <w:sz w:val="20"/>
          <w:szCs w:val="20"/>
        </w:rPr>
        <w:t xml:space="preserve">подчиненному </w:t>
      </w:r>
      <w:r w:rsidR="003C3D67">
        <w:rPr>
          <w:rFonts w:ascii="Arial" w:hAnsi="Arial" w:cs="Arial"/>
          <w:sz w:val="20"/>
          <w:szCs w:val="20"/>
        </w:rPr>
        <w:t>США</w:t>
      </w:r>
      <w:r w:rsidR="006778FD">
        <w:rPr>
          <w:rFonts w:ascii="Arial" w:hAnsi="Arial" w:cs="Arial"/>
          <w:sz w:val="20"/>
          <w:szCs w:val="20"/>
        </w:rPr>
        <w:t>)</w:t>
      </w:r>
      <w:r w:rsidR="008E7AB4">
        <w:rPr>
          <w:rFonts w:ascii="Arial" w:hAnsi="Arial" w:cs="Arial"/>
          <w:sz w:val="20"/>
          <w:szCs w:val="20"/>
        </w:rPr>
        <w:t xml:space="preserve">. </w:t>
      </w:r>
    </w:p>
    <w:p w:rsidR="009A58A8" w:rsidRPr="00661E8F" w:rsidRDefault="00B30D36" w:rsidP="00661E8F">
      <w:pPr>
        <w:spacing w:after="0" w:line="240" w:lineRule="auto"/>
        <w:ind w:firstLine="49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сложившихся условиях з</w:t>
      </w:r>
      <w:r w:rsidR="007E627D">
        <w:rPr>
          <w:rFonts w:ascii="Arial" w:hAnsi="Arial" w:cs="Arial"/>
          <w:sz w:val="20"/>
          <w:szCs w:val="20"/>
        </w:rPr>
        <w:t>ащита экономических интересов и самостоятельная политика невозможны без сильной и боеспособной армии.</w:t>
      </w:r>
      <w:proofErr w:type="gramEnd"/>
      <w:r w:rsidR="007E627D">
        <w:rPr>
          <w:rFonts w:ascii="Arial" w:hAnsi="Arial" w:cs="Arial"/>
          <w:sz w:val="20"/>
          <w:szCs w:val="20"/>
        </w:rPr>
        <w:t xml:space="preserve"> Поэтому Россия</w:t>
      </w:r>
      <w:r w:rsidR="007249E8">
        <w:rPr>
          <w:rFonts w:ascii="Arial" w:hAnsi="Arial" w:cs="Arial"/>
          <w:sz w:val="20"/>
          <w:szCs w:val="20"/>
        </w:rPr>
        <w:t>, чтобы</w:t>
      </w:r>
      <w:r w:rsidR="007E627D">
        <w:rPr>
          <w:rFonts w:ascii="Arial" w:hAnsi="Arial" w:cs="Arial"/>
          <w:sz w:val="20"/>
          <w:szCs w:val="20"/>
        </w:rPr>
        <w:t xml:space="preserve"> </w:t>
      </w:r>
      <w:r w:rsidR="007249E8">
        <w:rPr>
          <w:rFonts w:ascii="Arial" w:hAnsi="Arial" w:cs="Arial"/>
          <w:sz w:val="20"/>
          <w:szCs w:val="20"/>
        </w:rPr>
        <w:t>восстанови</w:t>
      </w:r>
      <w:r w:rsidR="007E627D">
        <w:rPr>
          <w:rFonts w:ascii="Arial" w:hAnsi="Arial" w:cs="Arial"/>
          <w:sz w:val="20"/>
          <w:szCs w:val="20"/>
        </w:rPr>
        <w:t>ть свою обороноспособность</w:t>
      </w:r>
      <w:r w:rsidR="007249E8">
        <w:rPr>
          <w:rFonts w:ascii="Arial" w:hAnsi="Arial" w:cs="Arial"/>
          <w:sz w:val="20"/>
          <w:szCs w:val="20"/>
        </w:rPr>
        <w:t>, несёт бремя военных расходов по модернизации вооружений.</w:t>
      </w:r>
    </w:p>
    <w:p w:rsidR="003C3A8E" w:rsidRDefault="00100CF7" w:rsidP="00B30D36">
      <w:pPr>
        <w:spacing w:before="240" w:line="240" w:lineRule="auto"/>
        <w:jc w:val="center"/>
        <w:rPr>
          <w:rFonts w:ascii="Arial" w:hAnsi="Arial" w:cs="Arial"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tbl>
      <w:tblPr>
        <w:tblStyle w:val="a6"/>
        <w:tblW w:w="10081" w:type="dxa"/>
        <w:jc w:val="center"/>
        <w:tblInd w:w="-3988" w:type="dxa"/>
        <w:tblLayout w:type="fixed"/>
        <w:tblLook w:val="04A0" w:firstRow="1" w:lastRow="0" w:firstColumn="1" w:lastColumn="0" w:noHBand="0" w:noVBand="1"/>
      </w:tblPr>
      <w:tblGrid>
        <w:gridCol w:w="7309"/>
        <w:gridCol w:w="1418"/>
        <w:gridCol w:w="1354"/>
      </w:tblGrid>
      <w:tr w:rsidR="003C3A8E" w:rsidRPr="003C3A8E" w:rsidTr="00B30D36">
        <w:trPr>
          <w:trHeight w:val="230"/>
          <w:jc w:val="center"/>
        </w:trPr>
        <w:tc>
          <w:tcPr>
            <w:tcW w:w="7309" w:type="dxa"/>
            <w:vMerge w:val="restart"/>
            <w:vAlign w:val="center"/>
            <w:hideMark/>
          </w:tcPr>
          <w:p w:rsidR="003C3A8E" w:rsidRPr="003C3A8E" w:rsidRDefault="003C3A8E" w:rsidP="003C3A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3C3A8E" w:rsidRPr="00B30D36" w:rsidRDefault="003C3A8E" w:rsidP="00B30D36">
            <w:pPr>
              <w:ind w:left="-108" w:right="-57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D36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t xml:space="preserve"> полугодие 2017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br/>
              <w:t xml:space="preserve">в % к </w:t>
            </w:r>
            <w:r w:rsidRPr="00B30D36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B30D36">
              <w:rPr>
                <w:rFonts w:ascii="Arial" w:hAnsi="Arial" w:cs="Arial"/>
                <w:b/>
                <w:sz w:val="16"/>
                <w:szCs w:val="16"/>
              </w:rPr>
              <w:t xml:space="preserve"> полу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t>годию 2016</w:t>
            </w:r>
            <w:r w:rsidR="00902E4D" w:rsidRPr="00B30D3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2E4D" w:rsidRPr="00B30D3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354" w:type="dxa"/>
            <w:vMerge w:val="restart"/>
            <w:vAlign w:val="center"/>
            <w:hideMark/>
          </w:tcPr>
          <w:p w:rsidR="003C3A8E" w:rsidRPr="00B30D36" w:rsidRDefault="003C3A8E" w:rsidP="00B30D36">
            <w:pPr>
              <w:ind w:left="-108" w:right="-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D3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B30D36">
              <w:rPr>
                <w:rFonts w:ascii="Arial" w:hAnsi="Arial" w:cs="Arial"/>
                <w:sz w:val="16"/>
                <w:szCs w:val="16"/>
              </w:rPr>
              <w:t xml:space="preserve"> полугоди</w:t>
            </w:r>
            <w:r w:rsidR="00B30D36">
              <w:rPr>
                <w:rFonts w:ascii="Arial" w:hAnsi="Arial" w:cs="Arial"/>
                <w:sz w:val="16"/>
                <w:szCs w:val="16"/>
              </w:rPr>
              <w:t>е 2016</w:t>
            </w:r>
            <w:r w:rsidR="00B30D36">
              <w:rPr>
                <w:rFonts w:ascii="Arial" w:hAnsi="Arial" w:cs="Arial"/>
                <w:sz w:val="16"/>
                <w:szCs w:val="16"/>
              </w:rPr>
              <w:br/>
              <w:t>в % к</w:t>
            </w:r>
            <w:r w:rsidRPr="00B30D3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B30D36">
              <w:rPr>
                <w:rFonts w:ascii="Arial" w:hAnsi="Arial" w:cs="Arial"/>
                <w:sz w:val="16"/>
                <w:szCs w:val="16"/>
              </w:rPr>
              <w:t xml:space="preserve"> полу</w:t>
            </w:r>
            <w:r w:rsidR="00B30D36">
              <w:rPr>
                <w:rFonts w:ascii="Arial" w:hAnsi="Arial" w:cs="Arial"/>
                <w:sz w:val="16"/>
                <w:szCs w:val="16"/>
              </w:rPr>
              <w:t>годию</w:t>
            </w:r>
            <w:r w:rsidR="00B30D36">
              <w:rPr>
                <w:rFonts w:ascii="Arial" w:hAnsi="Arial" w:cs="Arial"/>
                <w:sz w:val="16"/>
                <w:szCs w:val="16"/>
              </w:rPr>
              <w:br/>
              <w:t>2015</w:t>
            </w:r>
            <w:r w:rsidR="00902E4D" w:rsidRPr="00B30D36">
              <w:rPr>
                <w:rFonts w:ascii="Arial" w:hAnsi="Arial" w:cs="Arial"/>
                <w:sz w:val="16"/>
                <w:szCs w:val="16"/>
              </w:rPr>
              <w:t>,%</w:t>
            </w:r>
          </w:p>
        </w:tc>
      </w:tr>
      <w:tr w:rsidR="003C3A8E" w:rsidRPr="003C3A8E" w:rsidTr="00B30D36">
        <w:trPr>
          <w:trHeight w:val="230"/>
          <w:jc w:val="center"/>
        </w:trPr>
        <w:tc>
          <w:tcPr>
            <w:tcW w:w="7309" w:type="dxa"/>
            <w:vMerge/>
            <w:vAlign w:val="center"/>
            <w:hideMark/>
          </w:tcPr>
          <w:p w:rsidR="003C3A8E" w:rsidRPr="003C3A8E" w:rsidRDefault="003C3A8E" w:rsidP="003C3A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C3A8E" w:rsidRPr="003C3A8E" w:rsidRDefault="003C3A8E" w:rsidP="00B30D36">
            <w:pPr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3C3A8E" w:rsidRPr="003C3A8E" w:rsidRDefault="003C3A8E" w:rsidP="00B30D36">
            <w:pPr>
              <w:ind w:lef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B30D36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выпуска </w:t>
            </w:r>
            <w:r w:rsidR="00B30D36">
              <w:rPr>
                <w:rFonts w:ascii="Arial" w:hAnsi="Arial" w:cs="Arial"/>
                <w:sz w:val="20"/>
                <w:szCs w:val="20"/>
              </w:rPr>
              <w:t>товаров и услуг по базовым отраслям экономики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sz w:val="20"/>
                <w:szCs w:val="20"/>
              </w:rPr>
              <w:t>102,4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промышленного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производства</w:t>
            </w:r>
            <w:proofErr w:type="gramStart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102,0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A8E">
              <w:rPr>
                <w:rFonts w:ascii="Arial" w:hAnsi="Arial" w:cs="Arial"/>
                <w:b/>
                <w:sz w:val="20"/>
                <w:szCs w:val="20"/>
              </w:rPr>
              <w:t>100,2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Грузооборот транспорта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107,3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железнодорожного транспорта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107,4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услуг в сфере</w:t>
            </w: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телекоммуникаций</w:t>
            </w:r>
            <w:r w:rsidR="00902E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97,7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99,5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</w:t>
            </w:r>
            <w:r w:rsidR="00902E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3A8E">
              <w:rPr>
                <w:rFonts w:ascii="Arial" w:hAnsi="Arial" w:cs="Arial"/>
                <w:b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A8E">
              <w:rPr>
                <w:rFonts w:ascii="Arial" w:hAnsi="Arial" w:cs="Arial"/>
                <w:sz w:val="20"/>
                <w:szCs w:val="20"/>
                <w:lang w:val="en-US"/>
              </w:rPr>
              <w:t>99,2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3C3A8E">
              <w:rPr>
                <w:rFonts w:ascii="Arial" w:hAnsi="Arial" w:cs="Arial"/>
                <w:sz w:val="20"/>
                <w:szCs w:val="20"/>
              </w:rPr>
              <w:t>млрд.долларов США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129,3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75,5</w:t>
            </w:r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A8E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131,0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126,7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цен производителей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промышленных товаров</w:t>
            </w:r>
            <w:proofErr w:type="gramStart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B2586">
              <w:rPr>
                <w:rFonts w:ascii="Arial" w:hAnsi="Arial" w:cs="Arial"/>
                <w:b/>
                <w:color w:val="FF0000"/>
                <w:sz w:val="20"/>
                <w:szCs w:val="20"/>
              </w:rPr>
              <w:t>109,1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104,3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Реальные располагаемые</w:t>
            </w:r>
            <w:r w:rsidRPr="003C3A8E">
              <w:rPr>
                <w:rFonts w:ascii="Arial" w:hAnsi="Arial" w:cs="Arial"/>
                <w:bCs/>
                <w:sz w:val="20"/>
                <w:szCs w:val="20"/>
              </w:rPr>
              <w:t xml:space="preserve"> денежные доходы</w:t>
            </w:r>
            <w:r w:rsidRPr="003C3A8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7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98,6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7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95,2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Среднемесячная начисленная заработная плата работников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организаций:</w:t>
            </w:r>
          </w:p>
        </w:tc>
        <w:tc>
          <w:tcPr>
            <w:tcW w:w="1418" w:type="dxa"/>
            <w:vAlign w:val="center"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902E4D" w:rsidP="00902E4D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107,2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102,7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10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численность безработны</w:t>
            </w:r>
            <w:r w:rsidR="00902E4D">
              <w:rPr>
                <w:rFonts w:ascii="Arial" w:hAnsi="Arial" w:cs="Arial"/>
                <w:sz w:val="20"/>
                <w:szCs w:val="20"/>
              </w:rPr>
              <w:t>х (в возрасте 15-72 лет)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92,6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официально зарегистрированных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безработных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85,3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104,6</w:t>
            </w:r>
          </w:p>
        </w:tc>
      </w:tr>
    </w:tbl>
    <w:p w:rsidR="00100CF7" w:rsidRDefault="003C3A8E" w:rsidP="00E14242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E5AD4">
        <w:rPr>
          <w:rFonts w:ascii="Arial" w:hAnsi="Arial" w:cs="Arial"/>
          <w:sz w:val="20"/>
          <w:szCs w:val="20"/>
        </w:rPr>
        <w:t xml:space="preserve">Среди положительных тенденций </w:t>
      </w:r>
      <w:r w:rsidR="00D44A90">
        <w:rPr>
          <w:rFonts w:ascii="Arial" w:hAnsi="Arial" w:cs="Arial"/>
          <w:sz w:val="20"/>
          <w:szCs w:val="20"/>
        </w:rPr>
        <w:t xml:space="preserve">по сравнению с </w:t>
      </w:r>
      <w:r w:rsidR="00C152D4">
        <w:rPr>
          <w:rFonts w:ascii="Arial" w:hAnsi="Arial" w:cs="Arial"/>
          <w:sz w:val="20"/>
          <w:szCs w:val="20"/>
        </w:rPr>
        <w:t>аналогичным периодом</w:t>
      </w:r>
      <w:r w:rsidR="00D44A90">
        <w:rPr>
          <w:rFonts w:ascii="Arial" w:hAnsi="Arial" w:cs="Arial"/>
          <w:sz w:val="20"/>
          <w:szCs w:val="20"/>
        </w:rPr>
        <w:t xml:space="preserve"> 2016 года </w:t>
      </w:r>
      <w:r w:rsidR="000E5AD4">
        <w:rPr>
          <w:rFonts w:ascii="Arial" w:hAnsi="Arial" w:cs="Arial"/>
          <w:sz w:val="20"/>
          <w:szCs w:val="20"/>
        </w:rPr>
        <w:t>н</w:t>
      </w:r>
      <w:r w:rsidR="000E5AD4" w:rsidRPr="000E5AD4">
        <w:rPr>
          <w:rFonts w:ascii="Arial" w:hAnsi="Arial" w:cs="Arial"/>
          <w:sz w:val="20"/>
          <w:szCs w:val="20"/>
        </w:rPr>
        <w:t xml:space="preserve">аблюдаем </w:t>
      </w:r>
      <w:r w:rsidR="000E5AD4">
        <w:rPr>
          <w:rFonts w:ascii="Arial" w:hAnsi="Arial" w:cs="Arial"/>
          <w:sz w:val="20"/>
          <w:szCs w:val="20"/>
        </w:rPr>
        <w:t>ощутимый рост грузоперевозок</w:t>
      </w:r>
      <w:r w:rsidR="004E6AC8">
        <w:rPr>
          <w:rFonts w:ascii="Arial" w:hAnsi="Arial" w:cs="Arial"/>
          <w:sz w:val="20"/>
          <w:szCs w:val="20"/>
        </w:rPr>
        <w:t xml:space="preserve"> (+7</w:t>
      </w:r>
      <w:r w:rsidR="00C1122E">
        <w:rPr>
          <w:rFonts w:ascii="Arial" w:hAnsi="Arial" w:cs="Arial"/>
          <w:sz w:val="20"/>
          <w:szCs w:val="20"/>
        </w:rPr>
        <w:t>,</w:t>
      </w:r>
      <w:r w:rsidR="00902E4D">
        <w:rPr>
          <w:rFonts w:ascii="Arial" w:hAnsi="Arial" w:cs="Arial"/>
          <w:sz w:val="20"/>
          <w:szCs w:val="20"/>
        </w:rPr>
        <w:t>3</w:t>
      </w:r>
      <w:r w:rsidR="00C1122E">
        <w:rPr>
          <w:rFonts w:ascii="Arial" w:hAnsi="Arial" w:cs="Arial"/>
          <w:sz w:val="20"/>
          <w:szCs w:val="20"/>
        </w:rPr>
        <w:t xml:space="preserve"> %)</w:t>
      </w:r>
      <w:r w:rsidR="004E6AC8">
        <w:rPr>
          <w:rFonts w:ascii="Arial" w:hAnsi="Arial" w:cs="Arial"/>
          <w:sz w:val="20"/>
          <w:szCs w:val="20"/>
        </w:rPr>
        <w:t xml:space="preserve"> (что подтверждает общий рост деловой активности</w:t>
      </w:r>
      <w:r w:rsidR="00DE2E27">
        <w:rPr>
          <w:rFonts w:ascii="Arial" w:hAnsi="Arial" w:cs="Arial"/>
          <w:sz w:val="20"/>
          <w:szCs w:val="20"/>
        </w:rPr>
        <w:t>)</w:t>
      </w:r>
      <w:r w:rsidR="000E5AD4">
        <w:rPr>
          <w:rFonts w:ascii="Arial" w:hAnsi="Arial" w:cs="Arial"/>
          <w:sz w:val="20"/>
          <w:szCs w:val="20"/>
        </w:rPr>
        <w:t xml:space="preserve"> и внешнеторгового оборота </w:t>
      </w:r>
      <w:r w:rsidR="00902E4D">
        <w:rPr>
          <w:rFonts w:ascii="Arial" w:hAnsi="Arial" w:cs="Arial"/>
          <w:sz w:val="20"/>
          <w:szCs w:val="20"/>
        </w:rPr>
        <w:t>(+29,3</w:t>
      </w:r>
      <w:r w:rsidR="00E50EEB">
        <w:rPr>
          <w:rFonts w:ascii="Arial" w:hAnsi="Arial" w:cs="Arial"/>
          <w:sz w:val="20"/>
          <w:szCs w:val="20"/>
        </w:rPr>
        <w:t>%</w:t>
      </w:r>
      <w:r w:rsidR="00C152D4">
        <w:rPr>
          <w:rFonts w:ascii="Arial" w:hAnsi="Arial" w:cs="Arial"/>
          <w:sz w:val="20"/>
          <w:szCs w:val="20"/>
        </w:rPr>
        <w:t xml:space="preserve"> с</w:t>
      </w:r>
      <w:r w:rsidR="00E50EEB">
        <w:rPr>
          <w:rFonts w:ascii="Arial" w:hAnsi="Arial" w:cs="Arial"/>
          <w:sz w:val="20"/>
          <w:szCs w:val="20"/>
        </w:rPr>
        <w:t xml:space="preserve"> </w:t>
      </w:r>
      <w:r w:rsidR="000E5AD4">
        <w:rPr>
          <w:rFonts w:ascii="Arial" w:hAnsi="Arial" w:cs="Arial"/>
          <w:sz w:val="20"/>
          <w:szCs w:val="20"/>
        </w:rPr>
        <w:t>положительн</w:t>
      </w:r>
      <w:r w:rsidR="00C152D4">
        <w:rPr>
          <w:rFonts w:ascii="Arial" w:hAnsi="Arial" w:cs="Arial"/>
          <w:sz w:val="20"/>
          <w:szCs w:val="20"/>
        </w:rPr>
        <w:t>ым</w:t>
      </w:r>
      <w:r w:rsidR="00EB2586">
        <w:rPr>
          <w:rFonts w:ascii="Arial" w:hAnsi="Arial" w:cs="Arial"/>
          <w:sz w:val="20"/>
          <w:szCs w:val="20"/>
        </w:rPr>
        <w:t xml:space="preserve"> </w:t>
      </w:r>
      <w:r w:rsidR="000E5AD4">
        <w:rPr>
          <w:rFonts w:ascii="Arial" w:hAnsi="Arial" w:cs="Arial"/>
          <w:sz w:val="20"/>
          <w:szCs w:val="20"/>
        </w:rPr>
        <w:t>сальдо</w:t>
      </w:r>
      <w:r w:rsidR="00DE2E27">
        <w:rPr>
          <w:rFonts w:ascii="Arial" w:hAnsi="Arial" w:cs="Arial"/>
          <w:sz w:val="20"/>
          <w:szCs w:val="20"/>
        </w:rPr>
        <w:t xml:space="preserve"> торгового баланса</w:t>
      </w:r>
      <w:r w:rsidR="000E5AD4">
        <w:rPr>
          <w:rFonts w:ascii="Arial" w:hAnsi="Arial" w:cs="Arial"/>
          <w:sz w:val="20"/>
          <w:szCs w:val="20"/>
        </w:rPr>
        <w:t xml:space="preserve">), </w:t>
      </w:r>
      <w:r w:rsidR="00C1122E">
        <w:rPr>
          <w:rFonts w:ascii="Arial" w:hAnsi="Arial" w:cs="Arial"/>
          <w:sz w:val="20"/>
          <w:szCs w:val="20"/>
        </w:rPr>
        <w:t xml:space="preserve">а также </w:t>
      </w:r>
      <w:r w:rsidR="000E5AD4">
        <w:rPr>
          <w:rFonts w:ascii="Arial" w:hAnsi="Arial" w:cs="Arial"/>
          <w:sz w:val="20"/>
          <w:szCs w:val="20"/>
        </w:rPr>
        <w:t xml:space="preserve">рост реальной зарплаты </w:t>
      </w:r>
      <w:r w:rsidR="00C1122E">
        <w:rPr>
          <w:rFonts w:ascii="Arial" w:hAnsi="Arial" w:cs="Arial"/>
          <w:sz w:val="20"/>
          <w:szCs w:val="20"/>
        </w:rPr>
        <w:t>(</w:t>
      </w:r>
      <w:r w:rsidR="00C152D4">
        <w:rPr>
          <w:rFonts w:ascii="Arial" w:hAnsi="Arial" w:cs="Arial"/>
          <w:sz w:val="20"/>
          <w:szCs w:val="20"/>
        </w:rPr>
        <w:t>+2,</w:t>
      </w:r>
      <w:r w:rsidR="00EB2586">
        <w:rPr>
          <w:rFonts w:ascii="Arial" w:hAnsi="Arial" w:cs="Arial"/>
          <w:sz w:val="20"/>
          <w:szCs w:val="20"/>
        </w:rPr>
        <w:t>7</w:t>
      </w:r>
      <w:r w:rsidR="00C1122E">
        <w:rPr>
          <w:rFonts w:ascii="Arial" w:hAnsi="Arial" w:cs="Arial"/>
          <w:sz w:val="20"/>
          <w:szCs w:val="20"/>
        </w:rPr>
        <w:t xml:space="preserve">%) </w:t>
      </w:r>
      <w:r w:rsidR="000E5AD4">
        <w:rPr>
          <w:rFonts w:ascii="Arial" w:hAnsi="Arial" w:cs="Arial"/>
          <w:sz w:val="20"/>
          <w:szCs w:val="20"/>
        </w:rPr>
        <w:t>и снижение числа безработных</w:t>
      </w:r>
      <w:r w:rsidR="000B206B">
        <w:rPr>
          <w:rFonts w:ascii="Arial" w:hAnsi="Arial" w:cs="Arial"/>
          <w:sz w:val="20"/>
          <w:szCs w:val="20"/>
        </w:rPr>
        <w:t xml:space="preserve"> (-7,</w:t>
      </w:r>
      <w:r w:rsidR="00EB2586">
        <w:rPr>
          <w:rFonts w:ascii="Arial" w:hAnsi="Arial" w:cs="Arial"/>
          <w:sz w:val="20"/>
          <w:szCs w:val="20"/>
        </w:rPr>
        <w:t>4</w:t>
      </w:r>
      <w:r w:rsidR="00C1122E">
        <w:rPr>
          <w:rFonts w:ascii="Arial" w:hAnsi="Arial" w:cs="Arial"/>
          <w:sz w:val="20"/>
          <w:szCs w:val="20"/>
        </w:rPr>
        <w:t xml:space="preserve"> %).</w:t>
      </w:r>
    </w:p>
    <w:p w:rsidR="001301A5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Среди отрицательных</w:t>
      </w:r>
      <w:r w:rsidR="00E14242">
        <w:rPr>
          <w:rFonts w:ascii="Arial" w:hAnsi="Arial" w:cs="Arial"/>
          <w:sz w:val="20"/>
          <w:szCs w:val="20"/>
        </w:rPr>
        <w:t>:</w:t>
      </w:r>
      <w:r w:rsidR="00EB2586">
        <w:rPr>
          <w:rFonts w:ascii="Arial" w:hAnsi="Arial" w:cs="Arial"/>
          <w:sz w:val="20"/>
          <w:szCs w:val="20"/>
        </w:rPr>
        <w:t xml:space="preserve"> рост цен промтоваров (+9,1</w:t>
      </w:r>
      <w:r w:rsidR="00C1122E">
        <w:rPr>
          <w:rFonts w:ascii="Arial" w:hAnsi="Arial" w:cs="Arial"/>
          <w:sz w:val="20"/>
          <w:szCs w:val="20"/>
        </w:rPr>
        <w:t xml:space="preserve"> %), </w:t>
      </w:r>
      <w:r w:rsidR="0026024C">
        <w:rPr>
          <w:rFonts w:ascii="Arial" w:hAnsi="Arial" w:cs="Arial"/>
          <w:sz w:val="20"/>
          <w:szCs w:val="20"/>
        </w:rPr>
        <w:t xml:space="preserve">сохраняется снижение </w:t>
      </w:r>
      <w:r w:rsidR="00EB2586">
        <w:rPr>
          <w:rFonts w:ascii="Arial" w:hAnsi="Arial" w:cs="Arial"/>
          <w:sz w:val="20"/>
          <w:szCs w:val="20"/>
        </w:rPr>
        <w:t>реальных доходов населения (-1,4%) при общей положительной динамике.</w:t>
      </w:r>
    </w:p>
    <w:p w:rsidR="00694278" w:rsidRDefault="00694278" w:rsidP="00EB258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694278">
        <w:rPr>
          <w:rFonts w:ascii="Arial" w:hAnsi="Arial" w:cs="Arial"/>
          <w:b/>
          <w:bCs/>
          <w:sz w:val="20"/>
          <w:szCs w:val="20"/>
        </w:rPr>
        <w:t>Индекс промышленного производства </w:t>
      </w:r>
      <w:r w:rsidRPr="00694278">
        <w:rPr>
          <w:rFonts w:ascii="Arial" w:hAnsi="Arial" w:cs="Arial"/>
          <w:sz w:val="20"/>
          <w:szCs w:val="20"/>
        </w:rPr>
        <w:t>в </w:t>
      </w:r>
      <w:r w:rsidRPr="00694278">
        <w:rPr>
          <w:rFonts w:ascii="Arial" w:hAnsi="Arial" w:cs="Arial"/>
          <w:sz w:val="20"/>
          <w:szCs w:val="20"/>
          <w:lang w:val="en-US"/>
        </w:rPr>
        <w:t>I</w:t>
      </w:r>
      <w:r w:rsidRPr="00694278">
        <w:rPr>
          <w:rFonts w:ascii="Arial" w:hAnsi="Arial" w:cs="Arial"/>
          <w:sz w:val="20"/>
          <w:szCs w:val="20"/>
        </w:rPr>
        <w:t> полугодии 2017г. по сравнению с </w:t>
      </w:r>
      <w:r w:rsidRPr="00694278">
        <w:rPr>
          <w:rFonts w:ascii="Arial" w:hAnsi="Arial" w:cs="Arial"/>
          <w:sz w:val="20"/>
          <w:szCs w:val="20"/>
          <w:lang w:val="en-US"/>
        </w:rPr>
        <w:t>I</w:t>
      </w:r>
      <w:r w:rsidRPr="00694278">
        <w:rPr>
          <w:rFonts w:ascii="Arial" w:hAnsi="Arial" w:cs="Arial"/>
          <w:sz w:val="20"/>
          <w:szCs w:val="20"/>
        </w:rPr>
        <w:t> пол</w:t>
      </w:r>
      <w:r>
        <w:rPr>
          <w:rFonts w:ascii="Arial" w:hAnsi="Arial" w:cs="Arial"/>
          <w:sz w:val="20"/>
          <w:szCs w:val="20"/>
        </w:rPr>
        <w:t>угодием  2016г. составил 102,0%.</w:t>
      </w:r>
      <w:r w:rsidRPr="00694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6"/>
        <w:tblW w:w="4846" w:type="pct"/>
        <w:jc w:val="center"/>
        <w:tblInd w:w="-2159" w:type="dxa"/>
        <w:tblLook w:val="04A0" w:firstRow="1" w:lastRow="0" w:firstColumn="1" w:lastColumn="0" w:noHBand="0" w:noVBand="1"/>
      </w:tblPr>
      <w:tblGrid>
        <w:gridCol w:w="7253"/>
        <w:gridCol w:w="1366"/>
        <w:gridCol w:w="1482"/>
      </w:tblGrid>
      <w:tr w:rsidR="0027040A" w:rsidRPr="00B30D36" w:rsidTr="0092005A">
        <w:trPr>
          <w:trHeight w:val="230"/>
          <w:jc w:val="center"/>
        </w:trPr>
        <w:tc>
          <w:tcPr>
            <w:tcW w:w="7253" w:type="dxa"/>
            <w:vMerge w:val="restart"/>
            <w:vAlign w:val="center"/>
          </w:tcPr>
          <w:p w:rsidR="0027040A" w:rsidRPr="00B30D36" w:rsidRDefault="000E0D02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Важнейшие статьи</w:t>
            </w:r>
          </w:p>
        </w:tc>
        <w:tc>
          <w:tcPr>
            <w:tcW w:w="1366" w:type="dxa"/>
            <w:vMerge w:val="restart"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I</w:t>
            </w:r>
            <w:r w:rsidRPr="00B30D3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 полугодие</w:t>
            </w:r>
          </w:p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82" w:type="dxa"/>
            <w:vMerge w:val="restart"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US" w:eastAsia="ru-RU"/>
              </w:rPr>
              <w:t>I</w:t>
            </w: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 полугодие</w:t>
            </w:r>
          </w:p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2017г.</w:t>
            </w:r>
            <w:r w:rsidRPr="00B30D3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 % к</w:t>
            </w:r>
            <w:r w:rsidRPr="00B30D3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US" w:eastAsia="ru-RU"/>
              </w:rPr>
              <w:t>I</w:t>
            </w: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 полугодию</w:t>
            </w:r>
          </w:p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lastRenderedPageBreak/>
              <w:t>2016 г.</w:t>
            </w:r>
          </w:p>
        </w:tc>
      </w:tr>
      <w:tr w:rsidR="0027040A" w:rsidRPr="00B30D36" w:rsidTr="0092005A">
        <w:trPr>
          <w:trHeight w:val="230"/>
          <w:jc w:val="center"/>
        </w:trPr>
        <w:tc>
          <w:tcPr>
            <w:tcW w:w="7253" w:type="dxa"/>
            <w:vMerge/>
            <w:vAlign w:val="center"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Уголь,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 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107,3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Нефть сырая, включая газовый  конденсат, 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горючий природный (газ естественный),  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112,9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Пески природные,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116,7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крупного рогатого скота, свинина, баранина,  козлятина, конина и мясо прочих животных  семейства лошадиных, оленина и мясо прочих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животных семейства оленьих (оленевых) парные,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остывшие или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охлаждённые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и субпродукты пищевые домашней птицы, 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колбасные, включая  изделия колбасные для детского питания,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Полуфабрикаты мясные, мясосодержащие, 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охлаждённые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замороженные,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переработанная и консервированная, ракообразные и моллюски,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переработанный и консервированный,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подсолнечное и его фракции нерафинированные,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118,9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Молоко, кроме 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сырого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Сыры,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112,3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хлебобулочные недлительного хранения,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Ткани, 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Комплекты, костюмы, к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уртки (пиджаки) и блейзеры мужские производственные 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профессиональные,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128,9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трикотажные или вязаные,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124,4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Обувь, млн.пар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110,5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Лесоматери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алы, продольно распиленные или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расколотые,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разделённые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слои или </w:t>
            </w:r>
            <w:proofErr w:type="spellStart"/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лущеные</w:t>
            </w:r>
            <w:proofErr w:type="spellEnd"/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олщиной более 6 мм; деревянные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железно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или трамвайные шпалы,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непропитанные,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др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евесностружечные и аналогичные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из древ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есины или 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других одревесневших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материалов,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древесново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локнистые из древесины или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других одревесневших материалов,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Целлюлоза д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ревесная и целлюлоза из прочих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волокнистых материалов,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Бумага и картон,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Удобр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ения минеральные или химические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(в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пересчёте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100% питательных веществ),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Пластмассы в первичных формах,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Каучуки син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тетические в первичных формах,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лако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красочные на основе полимеров,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Волокна химические,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107,9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трубки и </w:t>
            </w:r>
            <w:proofErr w:type="gram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шланги</w:t>
            </w:r>
            <w:proofErr w:type="gram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фитинги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пластмассовые,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 листовое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литое, прокатное, тянутое или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выдув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ное, но не обработанное другим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способом,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 лист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овое термически полированное 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стекло листо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 с матовой или полированной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поверхнос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тью, но не обработанное другим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способом,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94,6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Лент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ы,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ровинг</w:t>
            </w:r>
            <w:proofErr w:type="spell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(ровница) и пряжа из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стеклово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локна, стекловолокно рубленое,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тки керамические глазурованные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внутренней облицовки стен,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114,0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Плитки керамические для полов,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105,0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пич керамический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неогнеупорный</w:t>
            </w:r>
            <w:proofErr w:type="spell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строительный, 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сл.кирпичей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91,4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Портлан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дцемент, цемент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глиноземистый</w:t>
            </w:r>
            <w:proofErr w:type="spell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цемент шлаковый и аналогичные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гидравлические цементы,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97,6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 с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троительный (включая камни) из цемента, бетона или искусственного камня,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сл.кирпичей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89,9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 зер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кальный и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передельный</w:t>
            </w:r>
            <w:proofErr w:type="spell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чушках,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болванках или в прочих 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первичных формах,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Прокат готовый,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9A53DD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Трубы, профили пустотелые и</w:t>
            </w:r>
            <w:r w:rsidR="0027040A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их фитинги стальные</w:t>
            </w:r>
            <w:r w:rsidR="0027040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96,2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9A53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</w:t>
            </w:r>
            <w:r w:rsidR="009A53DD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рукции и детали конструкций из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черных металлов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</w:t>
            </w:r>
            <w:r w:rsidR="009A53DD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рукции и детали конструкций из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алюминия прочие,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110,0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Компьюте</w:t>
            </w:r>
            <w:r w:rsidR="009A53DD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ры, их части и принадлежности,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177,1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Электродвигател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мощностью не более 37,5 Вт,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электродвиг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атели постоянного тока прочие;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генераторы постоянного тока,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118,6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Акку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муляторы свинцовые для запуска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поршневых двигателей,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84,4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Холоди</w:t>
            </w:r>
            <w:r w:rsidR="00053CEB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льники и морозильники бытовые,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Машины стиральные бытовые,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115,2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Насосы центроб</w:t>
            </w:r>
            <w:r w:rsidR="00053CEB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ежные подачи жидкостей прочие; насосы прочие, 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112,9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Краны мостовые электрические, 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96,3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Тракторы д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 сельского хозяйства прочие,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115,4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Сеялки,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Станки металлорежущие,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113,</w:t>
            </w: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val="en-US" w:eastAsia="ru-RU"/>
              </w:rPr>
              <w:t>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Машины литейны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 для металлургического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производства,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95,5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Бульдозеры и бу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льдозеры с поворотным отвалом,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89,6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 для производства хлебобулочных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изделий, млн.рублей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110,1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Двигатели внутреннего </w:t>
            </w:r>
            <w:r w:rsidR="00053CEB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сгорания для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автотранспортных средств,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 легковые,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120,7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Автобусы,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131,4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автотранспортные грузовые,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116,4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 прогулочные и спортивные,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135,2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Тепловозы магистральные, секций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88,7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Вагоны грузовые магистральные широкой колеи, 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192,7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Вт·ч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101,2</w:t>
            </w:r>
          </w:p>
        </w:tc>
      </w:tr>
    </w:tbl>
    <w:p w:rsidR="00A0543E" w:rsidRDefault="00A0543E" w:rsidP="00A054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705D49" w:rsidRDefault="003221F6" w:rsidP="00705D49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Как видим,</w:t>
      </w:r>
      <w:r w:rsidR="00E95E4F">
        <w:rPr>
          <w:rFonts w:ascii="Arial" w:hAnsi="Arial" w:cs="Arial"/>
          <w:sz w:val="20"/>
          <w:szCs w:val="20"/>
        </w:rPr>
        <w:t xml:space="preserve"> </w:t>
      </w:r>
      <w:r w:rsidR="0066736E">
        <w:rPr>
          <w:rFonts w:ascii="Arial" w:hAnsi="Arial" w:cs="Arial"/>
          <w:sz w:val="20"/>
          <w:szCs w:val="20"/>
        </w:rPr>
        <w:t>значительн</w:t>
      </w:r>
      <w:r>
        <w:rPr>
          <w:rFonts w:ascii="Arial" w:hAnsi="Arial" w:cs="Arial"/>
          <w:sz w:val="20"/>
          <w:szCs w:val="20"/>
        </w:rPr>
        <w:t>о ра</w:t>
      </w:r>
      <w:r w:rsidR="0066736E"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</w:t>
      </w:r>
      <w:r w:rsidR="00791AA9">
        <w:rPr>
          <w:rFonts w:ascii="Arial" w:hAnsi="Arial" w:cs="Arial"/>
          <w:sz w:val="20"/>
          <w:szCs w:val="20"/>
        </w:rPr>
        <w:t xml:space="preserve"> 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электрооборудования, транспортных средств</w:t>
      </w:r>
      <w:r w:rsidR="00791AA9">
        <w:rPr>
          <w:rFonts w:ascii="Arial" w:hAnsi="Arial" w:cs="Arial"/>
          <w:sz w:val="20"/>
          <w:szCs w:val="20"/>
        </w:rPr>
        <w:t>.</w:t>
      </w:r>
      <w:proofErr w:type="gramEnd"/>
      <w:r w:rsidR="00791AA9">
        <w:rPr>
          <w:rFonts w:ascii="Arial" w:hAnsi="Arial" w:cs="Arial"/>
          <w:sz w:val="20"/>
          <w:szCs w:val="20"/>
        </w:rPr>
        <w:t xml:space="preserve"> Особенно радует рост производства станков, автомобилей, сельхозмашин и оборудования, пластмасс, удобрений, компьютеров, электродвигателей.</w:t>
      </w:r>
      <w:r w:rsidR="00705D49">
        <w:rPr>
          <w:rFonts w:ascii="Arial" w:hAnsi="Arial" w:cs="Arial"/>
          <w:sz w:val="20"/>
          <w:szCs w:val="20"/>
        </w:rPr>
        <w:t xml:space="preserve"> Отставание производства стройматериалов </w:t>
      </w:r>
      <w:r w:rsidR="006D2E14">
        <w:rPr>
          <w:rFonts w:ascii="Arial" w:hAnsi="Arial" w:cs="Arial"/>
          <w:sz w:val="20"/>
          <w:szCs w:val="20"/>
        </w:rPr>
        <w:t>и строительного оборудования о</w:t>
      </w:r>
      <w:r w:rsidR="00705D49">
        <w:rPr>
          <w:rFonts w:ascii="Arial" w:hAnsi="Arial" w:cs="Arial"/>
          <w:sz w:val="20"/>
          <w:szCs w:val="20"/>
        </w:rPr>
        <w:t xml:space="preserve">бъяснимо снижением спроса в строительной отрасли по причине пока ещё низких доходов населения и бизнеса. </w:t>
      </w:r>
    </w:p>
    <w:p w:rsidR="00461E59" w:rsidRDefault="00705D49" w:rsidP="00705D49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Учитывая закономерное отставание динамики доходов от </w:t>
      </w:r>
      <w:r w:rsidR="003221F6">
        <w:rPr>
          <w:rFonts w:ascii="Arial" w:hAnsi="Arial" w:cs="Arial"/>
          <w:sz w:val="20"/>
          <w:szCs w:val="20"/>
        </w:rPr>
        <w:t>динамики</w:t>
      </w:r>
      <w:r>
        <w:rPr>
          <w:rFonts w:ascii="Arial" w:hAnsi="Arial" w:cs="Arial"/>
          <w:sz w:val="20"/>
          <w:szCs w:val="20"/>
        </w:rPr>
        <w:t xml:space="preserve"> производства в дальнейшем  след</w:t>
      </w:r>
      <w:r w:rsidR="003221F6">
        <w:rPr>
          <w:rFonts w:ascii="Arial" w:hAnsi="Arial" w:cs="Arial"/>
          <w:sz w:val="20"/>
          <w:szCs w:val="20"/>
        </w:rPr>
        <w:t>ом за общеэкономическим ростом</w:t>
      </w:r>
      <w:r>
        <w:rPr>
          <w:rFonts w:ascii="Arial" w:hAnsi="Arial" w:cs="Arial"/>
          <w:sz w:val="20"/>
          <w:szCs w:val="20"/>
        </w:rPr>
        <w:t xml:space="preserve"> ожидается и рост</w:t>
      </w:r>
      <w:proofErr w:type="gramEnd"/>
      <w:r>
        <w:rPr>
          <w:rFonts w:ascii="Arial" w:hAnsi="Arial" w:cs="Arial"/>
          <w:sz w:val="20"/>
          <w:szCs w:val="20"/>
        </w:rPr>
        <w:t xml:space="preserve"> доходов</w:t>
      </w:r>
      <w:r w:rsidR="003221F6">
        <w:rPr>
          <w:rFonts w:ascii="Arial" w:hAnsi="Arial" w:cs="Arial"/>
          <w:sz w:val="20"/>
          <w:szCs w:val="20"/>
        </w:rPr>
        <w:t xml:space="preserve"> сначала бизнеса, затем – доходов населения</w:t>
      </w:r>
      <w:r>
        <w:rPr>
          <w:rFonts w:ascii="Arial" w:hAnsi="Arial" w:cs="Arial"/>
          <w:sz w:val="20"/>
          <w:szCs w:val="20"/>
        </w:rPr>
        <w:t>.</w:t>
      </w:r>
    </w:p>
    <w:p w:rsidR="00995004" w:rsidRPr="00A0543E" w:rsidRDefault="006D2E14" w:rsidP="00995004">
      <w:pPr>
        <w:spacing w:after="0" w:line="240" w:lineRule="auto"/>
        <w:ind w:firstLine="491"/>
        <w:jc w:val="both"/>
        <w:rPr>
          <w:rFonts w:ascii="Arial" w:hAnsi="Arial" w:cs="Arial"/>
          <w:b/>
          <w:bCs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Pr="000C5D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A0543E">
        <w:rPr>
          <w:rFonts w:ascii="Arial" w:hAnsi="Arial" w:cs="Arial"/>
          <w:sz w:val="20"/>
          <w:szCs w:val="20"/>
        </w:rPr>
        <w:t> </w:t>
      </w:r>
      <w:r w:rsidRPr="00A0543E">
        <w:rPr>
          <w:rFonts w:ascii="Arial" w:hAnsi="Arial" w:cs="Arial"/>
          <w:sz w:val="20"/>
          <w:szCs w:val="20"/>
          <w:lang w:val="en-US"/>
        </w:rPr>
        <w:t>I </w:t>
      </w:r>
      <w:r>
        <w:rPr>
          <w:rFonts w:ascii="Arial" w:hAnsi="Arial" w:cs="Arial"/>
          <w:sz w:val="20"/>
          <w:szCs w:val="20"/>
        </w:rPr>
        <w:t>полугодии 2017 года в</w:t>
      </w:r>
      <w:r w:rsidR="00995004">
        <w:rPr>
          <w:rFonts w:ascii="Arial" w:hAnsi="Arial" w:cs="Arial"/>
          <w:sz w:val="20"/>
          <w:szCs w:val="20"/>
        </w:rPr>
        <w:t>ведено</w:t>
      </w:r>
      <w:r w:rsidR="00995004" w:rsidRPr="00A0543E">
        <w:rPr>
          <w:rFonts w:ascii="Arial" w:hAnsi="Arial" w:cs="Arial"/>
          <w:sz w:val="20"/>
          <w:szCs w:val="20"/>
        </w:rPr>
        <w:t xml:space="preserve"> 410,7 тыс. квартир</w:t>
      </w:r>
      <w:r w:rsidR="00995004">
        <w:rPr>
          <w:rFonts w:ascii="Arial" w:hAnsi="Arial" w:cs="Arial"/>
          <w:sz w:val="20"/>
          <w:szCs w:val="20"/>
        </w:rPr>
        <w:t xml:space="preserve"> общей площадью 28,0 млн.кв. метров (88,7 % к 1 </w:t>
      </w:r>
      <w:proofErr w:type="spellStart"/>
      <w:r w:rsidR="00995004">
        <w:rPr>
          <w:rFonts w:ascii="Arial" w:hAnsi="Arial" w:cs="Arial"/>
          <w:sz w:val="20"/>
          <w:szCs w:val="20"/>
        </w:rPr>
        <w:t>полуг</w:t>
      </w:r>
      <w:proofErr w:type="spellEnd"/>
      <w:r w:rsidR="00995004">
        <w:rPr>
          <w:rFonts w:ascii="Arial" w:hAnsi="Arial" w:cs="Arial"/>
          <w:sz w:val="20"/>
          <w:szCs w:val="20"/>
        </w:rPr>
        <w:t>. 2016</w:t>
      </w:r>
      <w:r w:rsidR="00995004" w:rsidRPr="00A0543E">
        <w:rPr>
          <w:rFonts w:ascii="Arial" w:hAnsi="Arial" w:cs="Arial"/>
          <w:sz w:val="20"/>
          <w:szCs w:val="20"/>
        </w:rPr>
        <w:t xml:space="preserve"> года</w:t>
      </w:r>
      <w:r w:rsidR="00995004">
        <w:rPr>
          <w:rFonts w:ascii="Arial" w:hAnsi="Arial" w:cs="Arial"/>
          <w:sz w:val="20"/>
          <w:szCs w:val="20"/>
        </w:rPr>
        <w:t xml:space="preserve">). </w:t>
      </w:r>
      <w:proofErr w:type="gramStart"/>
      <w:r w:rsidR="00995004">
        <w:rPr>
          <w:rFonts w:ascii="Arial" w:hAnsi="Arial" w:cs="Arial"/>
          <w:sz w:val="20"/>
          <w:szCs w:val="20"/>
        </w:rPr>
        <w:t>Доля</w:t>
      </w:r>
      <w:r w:rsidR="00995004" w:rsidRPr="00A0543E">
        <w:rPr>
          <w:rFonts w:ascii="Arial" w:hAnsi="Arial" w:cs="Arial"/>
          <w:sz w:val="20"/>
          <w:szCs w:val="20"/>
        </w:rPr>
        <w:t xml:space="preserve"> </w:t>
      </w:r>
      <w:r w:rsidR="00995004">
        <w:rPr>
          <w:rFonts w:ascii="Arial" w:hAnsi="Arial" w:cs="Arial"/>
          <w:sz w:val="20"/>
          <w:szCs w:val="20"/>
        </w:rPr>
        <w:t xml:space="preserve">Московской области составляет 10,5% от </w:t>
      </w:r>
      <w:r w:rsidR="00995004" w:rsidRPr="00A0543E">
        <w:rPr>
          <w:rFonts w:ascii="Arial" w:hAnsi="Arial" w:cs="Arial"/>
          <w:sz w:val="20"/>
          <w:szCs w:val="20"/>
        </w:rPr>
        <w:t>общей площади</w:t>
      </w:r>
      <w:r w:rsidR="00995004">
        <w:rPr>
          <w:rFonts w:ascii="Arial" w:hAnsi="Arial" w:cs="Arial"/>
          <w:sz w:val="20"/>
          <w:szCs w:val="20"/>
        </w:rPr>
        <w:t xml:space="preserve"> по России,  в </w:t>
      </w:r>
      <w:r w:rsidR="00995004" w:rsidRPr="00A0543E">
        <w:rPr>
          <w:rFonts w:ascii="Arial" w:hAnsi="Arial" w:cs="Arial"/>
          <w:sz w:val="20"/>
          <w:szCs w:val="20"/>
        </w:rPr>
        <w:t xml:space="preserve">Краснодарском крае – 7,3%, Санкт-Петербурге – 5,8%, Ленинградской области – 5,2%, Республике Татарстан – 3,9%, Ростовской области – 3,8%, Республике Башкортостан – 3,6%, Москве – 3,0%, Свердловской области – 2,5%, Новосибирской области – 2,2%, Нижегородской области – 2,0%, Самарской и </w:t>
      </w:r>
      <w:r w:rsidR="00995004">
        <w:rPr>
          <w:rFonts w:ascii="Arial" w:hAnsi="Arial" w:cs="Arial"/>
          <w:sz w:val="20"/>
          <w:szCs w:val="20"/>
        </w:rPr>
        <w:t>Челябинской областях – по 1,9%. С</w:t>
      </w:r>
      <w:r w:rsidR="00995004" w:rsidRPr="00A0543E">
        <w:rPr>
          <w:rFonts w:ascii="Arial" w:hAnsi="Arial" w:cs="Arial"/>
          <w:sz w:val="20"/>
          <w:szCs w:val="20"/>
        </w:rPr>
        <w:t>нижение по сравнению с </w:t>
      </w:r>
      <w:r w:rsidR="00995004" w:rsidRPr="00A0543E">
        <w:rPr>
          <w:rFonts w:ascii="Arial" w:hAnsi="Arial" w:cs="Arial"/>
          <w:sz w:val="20"/>
          <w:szCs w:val="20"/>
          <w:lang w:val="en-US"/>
        </w:rPr>
        <w:t>I </w:t>
      </w:r>
      <w:r w:rsidR="00995004" w:rsidRPr="00A0543E">
        <w:rPr>
          <w:rFonts w:ascii="Arial" w:hAnsi="Arial" w:cs="Arial"/>
          <w:sz w:val="20"/>
          <w:szCs w:val="20"/>
        </w:rPr>
        <w:t xml:space="preserve">полугодием 2016 года в Москве – на 39,2%, </w:t>
      </w:r>
      <w:r w:rsidR="00995004">
        <w:rPr>
          <w:rFonts w:ascii="Arial" w:hAnsi="Arial" w:cs="Arial"/>
          <w:sz w:val="20"/>
          <w:szCs w:val="20"/>
        </w:rPr>
        <w:t xml:space="preserve">в </w:t>
      </w:r>
      <w:r w:rsidR="00995004" w:rsidRPr="00A0543E">
        <w:rPr>
          <w:rFonts w:ascii="Arial" w:hAnsi="Arial" w:cs="Arial"/>
          <w:sz w:val="20"/>
          <w:szCs w:val="20"/>
        </w:rPr>
        <w:t>Свердловской области</w:t>
      </w:r>
      <w:proofErr w:type="gramEnd"/>
      <w:r w:rsidR="00995004" w:rsidRPr="00A0543E">
        <w:rPr>
          <w:rFonts w:ascii="Arial" w:hAnsi="Arial" w:cs="Arial"/>
          <w:sz w:val="20"/>
          <w:szCs w:val="20"/>
        </w:rPr>
        <w:t xml:space="preserve"> – на 22,3%, Новосибирской области – на 21,4%, Республике Башкортостан – на 11,9%, Краснодарском крае – на 3,8%, Московской области – на 0,7%.</w:t>
      </w:r>
    </w:p>
    <w:p w:rsidR="00DC7D2C" w:rsidRPr="00762631" w:rsidRDefault="00493687" w:rsidP="0076263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sz w:val="20"/>
          <w:szCs w:val="20"/>
        </w:rPr>
        <w:t>И</w:t>
      </w:r>
      <w:r w:rsidR="00995004" w:rsidRPr="00A0543E">
        <w:rPr>
          <w:rFonts w:ascii="Arial" w:hAnsi="Arial" w:cs="Arial"/>
          <w:sz w:val="20"/>
          <w:szCs w:val="20"/>
        </w:rPr>
        <w:t>ндивидуальными застройщиками введено 87,2 тыс. жилых домов общей площадью 11,5 млн.кв.</w:t>
      </w:r>
      <w:r w:rsidR="00995004">
        <w:rPr>
          <w:rFonts w:ascii="Arial" w:hAnsi="Arial" w:cs="Arial"/>
          <w:sz w:val="20"/>
          <w:szCs w:val="20"/>
        </w:rPr>
        <w:t xml:space="preserve"> </w:t>
      </w:r>
      <w:r w:rsidR="00995004" w:rsidRPr="00A0543E">
        <w:rPr>
          <w:rFonts w:ascii="Arial" w:hAnsi="Arial" w:cs="Arial"/>
          <w:sz w:val="20"/>
          <w:szCs w:val="20"/>
        </w:rPr>
        <w:t>метров</w:t>
      </w:r>
      <w:r w:rsidR="000C5DE8">
        <w:rPr>
          <w:rFonts w:ascii="Arial" w:hAnsi="Arial" w:cs="Arial"/>
          <w:sz w:val="20"/>
          <w:szCs w:val="20"/>
        </w:rPr>
        <w:t xml:space="preserve"> (</w:t>
      </w:r>
      <w:r w:rsidR="00995004" w:rsidRPr="00A0543E">
        <w:rPr>
          <w:rFonts w:ascii="Arial" w:hAnsi="Arial" w:cs="Arial"/>
          <w:sz w:val="20"/>
          <w:szCs w:val="20"/>
        </w:rPr>
        <w:t xml:space="preserve">83,5% </w:t>
      </w:r>
      <w:r w:rsidR="000C5DE8">
        <w:rPr>
          <w:rFonts w:ascii="Arial" w:hAnsi="Arial" w:cs="Arial"/>
          <w:sz w:val="20"/>
          <w:szCs w:val="20"/>
        </w:rPr>
        <w:t>к аналогичному периоду</w:t>
      </w:r>
      <w:r w:rsidR="00995004" w:rsidRPr="00A0543E">
        <w:rPr>
          <w:rFonts w:ascii="Arial" w:hAnsi="Arial" w:cs="Arial"/>
          <w:sz w:val="20"/>
          <w:szCs w:val="20"/>
        </w:rPr>
        <w:t xml:space="preserve"> 2016 года</w:t>
      </w:r>
      <w:r w:rsidR="000C5DE8">
        <w:rPr>
          <w:rFonts w:ascii="Arial" w:hAnsi="Arial" w:cs="Arial"/>
          <w:sz w:val="20"/>
          <w:szCs w:val="20"/>
        </w:rPr>
        <w:t>).</w:t>
      </w:r>
      <w:r w:rsidR="00995004" w:rsidRPr="00A0543E">
        <w:rPr>
          <w:rFonts w:ascii="Arial" w:hAnsi="Arial" w:cs="Arial"/>
          <w:sz w:val="20"/>
          <w:szCs w:val="20"/>
        </w:rPr>
        <w:t xml:space="preserve"> При этом доля индивидуального домостроения в общей </w:t>
      </w:r>
      <w:proofErr w:type="gramStart"/>
      <w:r w:rsidR="00995004" w:rsidRPr="00A0543E">
        <w:rPr>
          <w:rFonts w:ascii="Arial" w:hAnsi="Arial" w:cs="Arial"/>
          <w:sz w:val="20"/>
          <w:szCs w:val="20"/>
        </w:rPr>
        <w:t>площади</w:t>
      </w:r>
      <w:proofErr w:type="gramEnd"/>
      <w:r w:rsidR="00995004" w:rsidRPr="00A0543E">
        <w:rPr>
          <w:rFonts w:ascii="Arial" w:hAnsi="Arial" w:cs="Arial"/>
          <w:sz w:val="20"/>
          <w:szCs w:val="20"/>
        </w:rPr>
        <w:t xml:space="preserve"> завершённого строительством жилья составила: в целом по России – 41,2%; в республиках Алтай, Дагестан, Тыва, Чеченской Республике, Забайкальском и Камчатском краях, Белгородской, Новгородской и Тамбовск</w:t>
      </w:r>
      <w:r w:rsidR="00995004">
        <w:rPr>
          <w:rFonts w:ascii="Arial" w:hAnsi="Arial" w:cs="Arial"/>
          <w:sz w:val="20"/>
          <w:szCs w:val="20"/>
        </w:rPr>
        <w:t>ой областях – от 80,2% до 92,7%</w:t>
      </w:r>
      <w:r w:rsidR="00762631">
        <w:rPr>
          <w:rFonts w:ascii="Arial" w:hAnsi="Arial" w:cs="Arial"/>
          <w:sz w:val="20"/>
          <w:szCs w:val="20"/>
        </w:rPr>
        <w:t>.</w:t>
      </w:r>
    </w:p>
    <w:p w:rsidR="002F6982" w:rsidRPr="00976857" w:rsidRDefault="002F6982" w:rsidP="004D2D2E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Инвестиции </w:t>
      </w:r>
      <w:r w:rsidRPr="002F6982">
        <w:rPr>
          <w:rFonts w:ascii="Arial" w:hAnsi="Arial" w:cs="Arial"/>
          <w:sz w:val="20"/>
          <w:szCs w:val="20"/>
        </w:rPr>
        <w:t>в нефинансовые активы составили 1,73 трлн. руб.</w:t>
      </w:r>
      <w:r w:rsidR="006D2E14">
        <w:rPr>
          <w:rFonts w:ascii="Arial" w:hAnsi="Arial" w:cs="Arial"/>
          <w:sz w:val="20"/>
          <w:szCs w:val="20"/>
        </w:rPr>
        <w:t xml:space="preserve"> по итогам первого квартала.</w:t>
      </w:r>
    </w:p>
    <w:p w:rsidR="00FC09C3" w:rsidRDefault="00741994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</w:t>
      </w:r>
      <w:r w:rsidR="000403A4">
        <w:rPr>
          <w:rFonts w:ascii="Arial" w:hAnsi="Arial" w:cs="Arial"/>
          <w:sz w:val="20"/>
          <w:szCs w:val="20"/>
        </w:rPr>
        <w:t xml:space="preserve">по сравнению с 1.01.2016 г. </w:t>
      </w:r>
      <w:r w:rsidR="004D2D2E" w:rsidRPr="004D2D2E">
        <w:rPr>
          <w:rFonts w:ascii="Arial" w:hAnsi="Arial" w:cs="Arial"/>
          <w:sz w:val="20"/>
          <w:szCs w:val="20"/>
        </w:rPr>
        <w:t xml:space="preserve">на </w:t>
      </w:r>
      <w:r w:rsidR="00401643">
        <w:rPr>
          <w:rFonts w:ascii="Arial" w:hAnsi="Arial" w:cs="Arial"/>
          <w:sz w:val="20"/>
          <w:szCs w:val="20"/>
        </w:rPr>
        <w:t>0</w:t>
      </w:r>
      <w:r w:rsidR="004D2D2E" w:rsidRPr="004D2D2E">
        <w:rPr>
          <w:rFonts w:ascii="Arial" w:hAnsi="Arial" w:cs="Arial"/>
          <w:sz w:val="20"/>
          <w:szCs w:val="20"/>
        </w:rPr>
        <w:t>1</w:t>
      </w:r>
      <w:r w:rsidR="00401643">
        <w:rPr>
          <w:rFonts w:ascii="Arial" w:hAnsi="Arial" w:cs="Arial"/>
          <w:sz w:val="20"/>
          <w:szCs w:val="20"/>
        </w:rPr>
        <w:t>.01.</w:t>
      </w:r>
      <w:r w:rsidR="004D2D2E" w:rsidRPr="004D2D2E">
        <w:rPr>
          <w:rFonts w:ascii="Arial" w:hAnsi="Arial" w:cs="Arial"/>
          <w:sz w:val="20"/>
          <w:szCs w:val="20"/>
        </w:rPr>
        <w:t>2017 го</w:t>
      </w:r>
      <w:r w:rsidR="00943DC7">
        <w:rPr>
          <w:rFonts w:ascii="Arial" w:hAnsi="Arial" w:cs="Arial"/>
          <w:sz w:val="20"/>
          <w:szCs w:val="20"/>
        </w:rPr>
        <w:t xml:space="preserve">да </w:t>
      </w:r>
      <w:r w:rsidR="00477995">
        <w:rPr>
          <w:rFonts w:ascii="Arial" w:hAnsi="Arial" w:cs="Arial"/>
          <w:sz w:val="20"/>
          <w:szCs w:val="20"/>
        </w:rPr>
        <w:t>возрос</w:t>
      </w:r>
      <w:r w:rsidR="00943DC7">
        <w:rPr>
          <w:rFonts w:ascii="Arial" w:hAnsi="Arial" w:cs="Arial"/>
          <w:sz w:val="20"/>
          <w:szCs w:val="20"/>
        </w:rPr>
        <w:t xml:space="preserve">: организациям </w:t>
      </w:r>
      <w:r w:rsidR="00401643">
        <w:rPr>
          <w:rFonts w:ascii="Arial" w:hAnsi="Arial" w:cs="Arial"/>
          <w:sz w:val="20"/>
          <w:szCs w:val="20"/>
        </w:rPr>
        <w:t xml:space="preserve">до </w:t>
      </w:r>
      <w:r w:rsidR="00943DC7">
        <w:rPr>
          <w:rFonts w:ascii="Arial" w:hAnsi="Arial" w:cs="Arial"/>
          <w:sz w:val="20"/>
          <w:szCs w:val="20"/>
        </w:rPr>
        <w:t>32</w:t>
      </w:r>
      <w:r w:rsidR="00401643">
        <w:rPr>
          <w:rFonts w:ascii="Arial" w:hAnsi="Arial" w:cs="Arial"/>
          <w:sz w:val="20"/>
          <w:szCs w:val="20"/>
        </w:rPr>
        <w:t>,4 т</w:t>
      </w:r>
      <w:r w:rsidR="00C9696B">
        <w:rPr>
          <w:rFonts w:ascii="Arial" w:hAnsi="Arial" w:cs="Arial"/>
          <w:sz w:val="20"/>
          <w:szCs w:val="20"/>
        </w:rPr>
        <w:t>р</w:t>
      </w:r>
      <w:r w:rsidR="00401643">
        <w:rPr>
          <w:rFonts w:ascii="Arial" w:hAnsi="Arial" w:cs="Arial"/>
          <w:sz w:val="20"/>
          <w:szCs w:val="20"/>
        </w:rPr>
        <w:t>лн</w:t>
      </w:r>
      <w:r w:rsidR="00943DC7">
        <w:rPr>
          <w:rFonts w:ascii="Arial" w:hAnsi="Arial" w:cs="Arial"/>
          <w:sz w:val="20"/>
          <w:szCs w:val="20"/>
        </w:rPr>
        <w:t xml:space="preserve">. </w:t>
      </w:r>
      <w:r w:rsidR="00401643">
        <w:rPr>
          <w:rFonts w:ascii="Arial" w:hAnsi="Arial" w:cs="Arial"/>
          <w:sz w:val="20"/>
          <w:szCs w:val="20"/>
        </w:rPr>
        <w:t>р</w:t>
      </w:r>
      <w:r w:rsidR="00943DC7">
        <w:rPr>
          <w:rFonts w:ascii="Arial" w:hAnsi="Arial" w:cs="Arial"/>
          <w:sz w:val="20"/>
          <w:szCs w:val="20"/>
        </w:rPr>
        <w:t>уб</w:t>
      </w:r>
      <w:r w:rsidR="00401643">
        <w:rPr>
          <w:rFonts w:ascii="Arial" w:hAnsi="Arial" w:cs="Arial"/>
          <w:sz w:val="20"/>
          <w:szCs w:val="20"/>
        </w:rPr>
        <w:t>.</w:t>
      </w:r>
      <w:r w:rsidR="00943DC7">
        <w:rPr>
          <w:rFonts w:ascii="Arial" w:hAnsi="Arial" w:cs="Arial"/>
          <w:sz w:val="20"/>
          <w:szCs w:val="20"/>
        </w:rPr>
        <w:t xml:space="preserve"> (</w:t>
      </w:r>
      <w:r w:rsidR="00C9696B">
        <w:rPr>
          <w:rFonts w:ascii="Arial" w:hAnsi="Arial" w:cs="Arial"/>
          <w:sz w:val="20"/>
          <w:szCs w:val="20"/>
        </w:rPr>
        <w:t>+</w:t>
      </w:r>
      <w:r w:rsidR="00943DC7">
        <w:rPr>
          <w:rFonts w:ascii="Arial" w:hAnsi="Arial" w:cs="Arial"/>
          <w:sz w:val="20"/>
          <w:szCs w:val="20"/>
        </w:rPr>
        <w:t xml:space="preserve"> </w:t>
      </w:r>
      <w:r w:rsidR="00401643">
        <w:rPr>
          <w:rFonts w:ascii="Arial" w:hAnsi="Arial" w:cs="Arial"/>
          <w:sz w:val="20"/>
          <w:szCs w:val="20"/>
        </w:rPr>
        <w:t>8</w:t>
      </w:r>
      <w:r w:rsidR="004D2D2E" w:rsidRPr="004D2D2E">
        <w:rPr>
          <w:rFonts w:ascii="Arial" w:hAnsi="Arial" w:cs="Arial"/>
          <w:sz w:val="20"/>
          <w:szCs w:val="20"/>
        </w:rPr>
        <w:t>%)</w:t>
      </w:r>
      <w:r w:rsidR="004D2D2E">
        <w:rPr>
          <w:rFonts w:ascii="Arial" w:hAnsi="Arial" w:cs="Arial"/>
          <w:sz w:val="20"/>
          <w:szCs w:val="20"/>
        </w:rPr>
        <w:t xml:space="preserve">, физическим лицам </w:t>
      </w:r>
      <w:r w:rsidR="000403A4">
        <w:rPr>
          <w:rFonts w:ascii="Arial" w:hAnsi="Arial" w:cs="Arial"/>
          <w:sz w:val="20"/>
          <w:szCs w:val="20"/>
        </w:rPr>
        <w:t>до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7,2 трлн</w:t>
      </w:r>
      <w:r w:rsidR="00943DC7">
        <w:rPr>
          <w:rFonts w:ascii="Arial" w:hAnsi="Arial" w:cs="Arial"/>
          <w:sz w:val="20"/>
          <w:szCs w:val="20"/>
        </w:rPr>
        <w:t>. руб. (+</w:t>
      </w:r>
      <w:r w:rsidR="00C9696B">
        <w:rPr>
          <w:rFonts w:ascii="Arial" w:hAnsi="Arial" w:cs="Arial"/>
          <w:sz w:val="20"/>
          <w:szCs w:val="20"/>
        </w:rPr>
        <w:t>2</w:t>
      </w:r>
      <w:r w:rsidR="00943DC7">
        <w:rPr>
          <w:rFonts w:ascii="Arial" w:hAnsi="Arial" w:cs="Arial"/>
          <w:sz w:val="20"/>
          <w:szCs w:val="20"/>
        </w:rPr>
        <w:t>3</w:t>
      </w:r>
      <w:r w:rsidR="004D2D2E">
        <w:rPr>
          <w:rFonts w:ascii="Arial" w:hAnsi="Arial" w:cs="Arial"/>
          <w:sz w:val="20"/>
          <w:szCs w:val="20"/>
        </w:rPr>
        <w:t xml:space="preserve">%), из них ипотечных кредитов </w:t>
      </w:r>
      <w:r w:rsidR="00C9696B">
        <w:rPr>
          <w:rFonts w:ascii="Arial" w:hAnsi="Arial" w:cs="Arial"/>
          <w:sz w:val="20"/>
          <w:szCs w:val="20"/>
        </w:rPr>
        <w:t>–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1,48 трлн.руб.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0403A4">
        <w:rPr>
          <w:rFonts w:ascii="Arial" w:hAnsi="Arial" w:cs="Arial"/>
          <w:sz w:val="20"/>
          <w:szCs w:val="20"/>
        </w:rPr>
        <w:t>(+26</w:t>
      </w:r>
      <w:r w:rsidR="00462754">
        <w:rPr>
          <w:rFonts w:ascii="Arial" w:hAnsi="Arial" w:cs="Arial"/>
          <w:sz w:val="20"/>
          <w:szCs w:val="20"/>
        </w:rPr>
        <w:t xml:space="preserve">%) </w:t>
      </w:r>
      <w:r w:rsidR="004D2D2E">
        <w:rPr>
          <w:rFonts w:ascii="Arial" w:hAnsi="Arial" w:cs="Arial"/>
          <w:sz w:val="20"/>
          <w:szCs w:val="20"/>
        </w:rPr>
        <w:t xml:space="preserve">под </w:t>
      </w:r>
      <w:r w:rsidR="00462754">
        <w:rPr>
          <w:rFonts w:ascii="Arial" w:hAnsi="Arial" w:cs="Arial"/>
          <w:sz w:val="20"/>
          <w:szCs w:val="20"/>
        </w:rPr>
        <w:t>11,</w:t>
      </w:r>
      <w:r w:rsidR="000403A4">
        <w:rPr>
          <w:rFonts w:ascii="Arial" w:hAnsi="Arial" w:cs="Arial"/>
          <w:sz w:val="20"/>
          <w:szCs w:val="20"/>
        </w:rPr>
        <w:t>6</w:t>
      </w:r>
      <w:r w:rsidR="00462754">
        <w:rPr>
          <w:rFonts w:ascii="Arial" w:hAnsi="Arial" w:cs="Arial"/>
          <w:sz w:val="20"/>
          <w:szCs w:val="20"/>
        </w:rPr>
        <w:t>% годовых (средневзвешенная ставка)</w:t>
      </w:r>
      <w:r w:rsidR="000403A4">
        <w:rPr>
          <w:rFonts w:ascii="Arial" w:hAnsi="Arial" w:cs="Arial"/>
          <w:sz w:val="20"/>
          <w:szCs w:val="20"/>
        </w:rPr>
        <w:t xml:space="preserve"> (-9,1</w:t>
      </w:r>
      <w:r w:rsidR="00D9633A">
        <w:rPr>
          <w:rFonts w:ascii="Arial" w:hAnsi="Arial" w:cs="Arial"/>
          <w:sz w:val="20"/>
          <w:szCs w:val="20"/>
        </w:rPr>
        <w:t>%)</w:t>
      </w:r>
      <w:r w:rsidR="00462754">
        <w:rPr>
          <w:rFonts w:ascii="Arial" w:hAnsi="Arial" w:cs="Arial"/>
          <w:sz w:val="20"/>
          <w:szCs w:val="20"/>
        </w:rPr>
        <w:t xml:space="preserve">. </w:t>
      </w:r>
      <w:r w:rsidR="0092005A">
        <w:rPr>
          <w:rFonts w:ascii="Arial" w:hAnsi="Arial" w:cs="Arial"/>
          <w:sz w:val="20"/>
          <w:szCs w:val="20"/>
        </w:rPr>
        <w:t xml:space="preserve">По </w:t>
      </w:r>
      <w:proofErr w:type="spellStart"/>
      <w:r w:rsidR="0092005A">
        <w:rPr>
          <w:rFonts w:ascii="Arial" w:hAnsi="Arial" w:cs="Arial"/>
          <w:sz w:val="20"/>
          <w:szCs w:val="20"/>
        </w:rPr>
        <w:t>месецам</w:t>
      </w:r>
      <w:proofErr w:type="spellEnd"/>
      <w:r w:rsidR="0092005A">
        <w:rPr>
          <w:rFonts w:ascii="Arial" w:hAnsi="Arial" w:cs="Arial"/>
          <w:sz w:val="20"/>
          <w:szCs w:val="20"/>
        </w:rPr>
        <w:t>:</w:t>
      </w:r>
    </w:p>
    <w:p w:rsidR="0092005A" w:rsidRDefault="0092005A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3F34F4F">
            <wp:simplePos x="0" y="0"/>
            <wp:positionH relativeFrom="column">
              <wp:posOffset>279400</wp:posOffset>
            </wp:positionH>
            <wp:positionV relativeFrom="paragraph">
              <wp:posOffset>42545</wp:posOffset>
            </wp:positionV>
            <wp:extent cx="5712460" cy="2152015"/>
            <wp:effectExtent l="0" t="0" r="254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FF3" w:rsidRDefault="005C403B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В</w:t>
      </w:r>
      <w:r w:rsidR="009B2FF3" w:rsidRPr="009B2FF3">
        <w:rPr>
          <w:rFonts w:ascii="Arial" w:hAnsi="Arial" w:cs="Arial"/>
          <w:b/>
          <w:sz w:val="20"/>
          <w:szCs w:val="20"/>
        </w:rPr>
        <w:t>клады 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EA7668" w:rsidRPr="004D2D2E">
        <w:rPr>
          <w:rFonts w:ascii="Arial" w:hAnsi="Arial" w:cs="Arial"/>
          <w:sz w:val="20"/>
          <w:szCs w:val="20"/>
        </w:rPr>
        <w:t xml:space="preserve">на </w:t>
      </w:r>
      <w:r w:rsidR="003F0CA9">
        <w:rPr>
          <w:rFonts w:ascii="Arial" w:hAnsi="Arial" w:cs="Arial"/>
          <w:sz w:val="20"/>
          <w:szCs w:val="20"/>
        </w:rPr>
        <w:t>0</w:t>
      </w:r>
      <w:r w:rsidR="00EA7668" w:rsidRPr="004D2D2E">
        <w:rPr>
          <w:rFonts w:ascii="Arial" w:hAnsi="Arial" w:cs="Arial"/>
          <w:sz w:val="20"/>
          <w:szCs w:val="20"/>
        </w:rPr>
        <w:t>1</w:t>
      </w:r>
      <w:r w:rsidR="0018419B">
        <w:rPr>
          <w:rFonts w:ascii="Arial" w:hAnsi="Arial" w:cs="Arial"/>
          <w:sz w:val="20"/>
          <w:szCs w:val="20"/>
        </w:rPr>
        <w:t>.07.</w:t>
      </w:r>
      <w:r w:rsidR="00EA7668" w:rsidRPr="004D2D2E">
        <w:rPr>
          <w:rFonts w:ascii="Arial" w:hAnsi="Arial" w:cs="Arial"/>
          <w:sz w:val="20"/>
          <w:szCs w:val="20"/>
        </w:rPr>
        <w:t xml:space="preserve">2017 года </w:t>
      </w:r>
      <w:r w:rsidR="00477995">
        <w:rPr>
          <w:rFonts w:ascii="Arial" w:hAnsi="Arial" w:cs="Arial"/>
          <w:sz w:val="20"/>
          <w:szCs w:val="20"/>
        </w:rPr>
        <w:t>возросли до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18419B">
        <w:rPr>
          <w:rFonts w:ascii="Arial" w:hAnsi="Arial" w:cs="Arial"/>
          <w:bCs/>
          <w:sz w:val="20"/>
          <w:szCs w:val="20"/>
        </w:rPr>
        <w:t>25,0</w:t>
      </w:r>
      <w:r w:rsidR="000403A4">
        <w:rPr>
          <w:rFonts w:ascii="Arial" w:hAnsi="Arial" w:cs="Arial"/>
          <w:bCs/>
          <w:sz w:val="20"/>
          <w:szCs w:val="20"/>
        </w:rPr>
        <w:t xml:space="preserve"> 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 w:rsidR="0018419B">
        <w:rPr>
          <w:rFonts w:ascii="Arial" w:hAnsi="Arial" w:cs="Arial"/>
          <w:bCs/>
          <w:sz w:val="20"/>
          <w:szCs w:val="20"/>
        </w:rPr>
        <w:t>8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9B2FF3">
        <w:rPr>
          <w:rFonts w:ascii="Arial" w:hAnsi="Arial" w:cs="Arial"/>
          <w:bCs/>
          <w:sz w:val="20"/>
          <w:szCs w:val="20"/>
        </w:rPr>
        <w:t>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в </w:t>
      </w:r>
      <w:r w:rsidR="00130051">
        <w:rPr>
          <w:rFonts w:ascii="Arial" w:hAnsi="Arial" w:cs="Arial"/>
          <w:bCs/>
          <w:sz w:val="20"/>
          <w:szCs w:val="20"/>
        </w:rPr>
        <w:t>июле</w:t>
      </w:r>
      <w:r>
        <w:rPr>
          <w:rFonts w:ascii="Arial" w:hAnsi="Arial" w:cs="Arial"/>
          <w:bCs/>
          <w:sz w:val="20"/>
          <w:szCs w:val="20"/>
        </w:rPr>
        <w:t xml:space="preserve"> 2017 г. </w:t>
      </w:r>
      <w:r w:rsidR="009B101E">
        <w:rPr>
          <w:rFonts w:ascii="Arial" w:hAnsi="Arial" w:cs="Arial"/>
          <w:bCs/>
          <w:sz w:val="20"/>
          <w:szCs w:val="20"/>
        </w:rPr>
        <w:t>по сравнению с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30051">
        <w:rPr>
          <w:rFonts w:ascii="Arial" w:hAnsi="Arial" w:cs="Arial"/>
          <w:bCs/>
          <w:sz w:val="20"/>
          <w:szCs w:val="20"/>
        </w:rPr>
        <w:t>июлем</w:t>
      </w:r>
      <w:r>
        <w:rPr>
          <w:rFonts w:ascii="Arial" w:hAnsi="Arial" w:cs="Arial"/>
          <w:bCs/>
          <w:sz w:val="20"/>
          <w:szCs w:val="20"/>
        </w:rPr>
        <w:t xml:space="preserve"> 2016 г. 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130051">
        <w:rPr>
          <w:rFonts w:ascii="Arial" w:hAnsi="Arial" w:cs="Arial"/>
          <w:bCs/>
          <w:sz w:val="20"/>
          <w:szCs w:val="20"/>
        </w:rPr>
        <w:t>3,9</w:t>
      </w:r>
      <w:r>
        <w:rPr>
          <w:rFonts w:ascii="Arial" w:hAnsi="Arial" w:cs="Arial"/>
          <w:bCs/>
          <w:sz w:val="20"/>
          <w:szCs w:val="20"/>
        </w:rPr>
        <w:t>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047DF5" w:rsidRDefault="00C06544" w:rsidP="00C0654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06544">
        <w:rPr>
          <w:rFonts w:ascii="Arial" w:hAnsi="Arial" w:cs="Arial"/>
          <w:sz w:val="20"/>
          <w:szCs w:val="20"/>
        </w:rPr>
        <w:t>Международные резервы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18419B">
        <w:rPr>
          <w:rFonts w:ascii="Arial" w:hAnsi="Arial" w:cs="Arial"/>
          <w:sz w:val="20"/>
          <w:szCs w:val="20"/>
        </w:rPr>
        <w:t>28.07</w:t>
      </w:r>
      <w:r>
        <w:rPr>
          <w:rFonts w:ascii="Arial" w:hAnsi="Arial" w:cs="Arial"/>
          <w:sz w:val="20"/>
          <w:szCs w:val="20"/>
        </w:rPr>
        <w:t xml:space="preserve">.2017 - </w:t>
      </w:r>
      <w:r w:rsidR="0018419B" w:rsidRPr="0018419B">
        <w:rPr>
          <w:rFonts w:ascii="Arial" w:hAnsi="Arial" w:cs="Arial"/>
          <w:sz w:val="20"/>
          <w:szCs w:val="20"/>
        </w:rPr>
        <w:t>418,9</w:t>
      </w:r>
      <w:r w:rsidR="00184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млрд.</w:t>
      </w:r>
      <w:r w:rsidR="009B10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долл. (</w:t>
      </w:r>
      <w:r w:rsidR="0018419B">
        <w:rPr>
          <w:rFonts w:ascii="Arial" w:hAnsi="Arial" w:cs="Arial"/>
          <w:sz w:val="20"/>
          <w:szCs w:val="20"/>
        </w:rPr>
        <w:t>+6,2</w:t>
      </w:r>
      <w:r w:rsidR="009B101E">
        <w:rPr>
          <w:rFonts w:ascii="Arial" w:hAnsi="Arial" w:cs="Arial"/>
          <w:sz w:val="20"/>
          <w:szCs w:val="20"/>
        </w:rPr>
        <w:t>%</w:t>
      </w:r>
      <w:r w:rsidR="0018419B">
        <w:rPr>
          <w:rFonts w:ascii="Arial" w:hAnsi="Arial" w:cs="Arial"/>
          <w:sz w:val="20"/>
          <w:szCs w:val="20"/>
        </w:rPr>
        <w:t xml:space="preserve"> по сравнению с аналогичным периодом прошлого года</w:t>
      </w:r>
      <w:r>
        <w:rPr>
          <w:rFonts w:ascii="Arial" w:hAnsi="Arial" w:cs="Arial"/>
          <w:sz w:val="20"/>
          <w:szCs w:val="20"/>
        </w:rPr>
        <w:t>)</w:t>
      </w:r>
      <w:r w:rsidR="0018419B">
        <w:rPr>
          <w:rFonts w:ascii="Arial" w:hAnsi="Arial" w:cs="Arial"/>
          <w:sz w:val="20"/>
          <w:szCs w:val="20"/>
        </w:rPr>
        <w:t>.</w:t>
      </w:r>
    </w:p>
    <w:p w:rsidR="00462754" w:rsidRDefault="009B2FF3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047DF5">
        <w:rPr>
          <w:rFonts w:ascii="Arial" w:hAnsi="Arial" w:cs="Arial"/>
          <w:sz w:val="20"/>
          <w:szCs w:val="20"/>
        </w:rPr>
        <w:t xml:space="preserve"> 19.06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0141E7">
        <w:rPr>
          <w:rFonts w:ascii="Arial" w:hAnsi="Arial" w:cs="Arial"/>
          <w:sz w:val="20"/>
          <w:szCs w:val="20"/>
        </w:rPr>
        <w:t xml:space="preserve">- </w:t>
      </w:r>
      <w:r w:rsidR="009664C4">
        <w:rPr>
          <w:rFonts w:ascii="Arial" w:hAnsi="Arial" w:cs="Arial"/>
          <w:sz w:val="20"/>
          <w:szCs w:val="20"/>
        </w:rPr>
        <w:t xml:space="preserve"> 9,0</w:t>
      </w:r>
      <w:r w:rsidR="00462754" w:rsidRPr="00462754">
        <w:rPr>
          <w:rFonts w:ascii="Arial" w:hAnsi="Arial" w:cs="Arial"/>
          <w:sz w:val="20"/>
          <w:szCs w:val="20"/>
        </w:rPr>
        <w:t xml:space="preserve">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A7668" w:rsidRPr="004D2D2E" w:rsidRDefault="00F82451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</w:t>
      </w:r>
      <w:r w:rsidR="00EA7668">
        <w:rPr>
          <w:rFonts w:ascii="Arial" w:hAnsi="Arial" w:cs="Arial"/>
          <w:sz w:val="20"/>
          <w:szCs w:val="20"/>
        </w:rPr>
        <w:t xml:space="preserve"> 2017 год</w:t>
      </w:r>
      <w:r>
        <w:rPr>
          <w:rFonts w:ascii="Arial" w:hAnsi="Arial" w:cs="Arial"/>
          <w:sz w:val="20"/>
          <w:szCs w:val="20"/>
        </w:rPr>
        <w:t xml:space="preserve"> в 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42 </w:t>
      </w:r>
      <w:hyperlink r:id="rId8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>в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>енные целевые программы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оборонного, регионального и государственного развития. </w:t>
      </w:r>
      <w:r>
        <w:rPr>
          <w:rFonts w:ascii="Arial" w:hAnsi="Arial" w:cs="Arial"/>
          <w:sz w:val="20"/>
          <w:szCs w:val="20"/>
        </w:rPr>
        <w:t xml:space="preserve">В 2016 году на их выполнение было направлено около 900 </w:t>
      </w:r>
      <w:proofErr w:type="gramStart"/>
      <w:r>
        <w:rPr>
          <w:rFonts w:ascii="Arial" w:hAnsi="Arial" w:cs="Arial"/>
          <w:sz w:val="20"/>
          <w:szCs w:val="20"/>
        </w:rPr>
        <w:t>млрд</w:t>
      </w:r>
      <w:proofErr w:type="gramEnd"/>
      <w:r>
        <w:rPr>
          <w:rFonts w:ascii="Arial" w:hAnsi="Arial" w:cs="Arial"/>
          <w:sz w:val="20"/>
          <w:szCs w:val="20"/>
        </w:rPr>
        <w:t xml:space="preserve"> руб. федеральных средств, половина которых </w:t>
      </w:r>
      <w:r w:rsidR="00BE4AC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капитальные вложения (здания, сооружения, оборудование), около 150 млрд. руб. – инвестиции в научные исследования и разработки</w:t>
      </w:r>
      <w:r w:rsidR="00BE4AC3">
        <w:rPr>
          <w:rFonts w:ascii="Arial" w:hAnsi="Arial" w:cs="Arial"/>
          <w:sz w:val="20"/>
          <w:szCs w:val="20"/>
        </w:rPr>
        <w:t>. О</w:t>
      </w:r>
      <w:r>
        <w:rPr>
          <w:rFonts w:ascii="Arial" w:hAnsi="Arial" w:cs="Arial"/>
          <w:sz w:val="20"/>
          <w:szCs w:val="20"/>
        </w:rPr>
        <w:t>коло 700 млрд. руб. средств регионов</w:t>
      </w:r>
      <w:r w:rsidR="00BE4AC3">
        <w:rPr>
          <w:rFonts w:ascii="Arial" w:hAnsi="Arial" w:cs="Arial"/>
          <w:sz w:val="20"/>
          <w:szCs w:val="20"/>
        </w:rPr>
        <w:t xml:space="preserve"> направлено на региональные программы</w:t>
      </w:r>
      <w:r>
        <w:rPr>
          <w:rFonts w:ascii="Arial" w:hAnsi="Arial" w:cs="Arial"/>
          <w:sz w:val="20"/>
          <w:szCs w:val="20"/>
        </w:rPr>
        <w:t>.</w:t>
      </w:r>
    </w:p>
    <w:p w:rsidR="001F0C1B" w:rsidRPr="0079696A" w:rsidRDefault="0079696A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850D8E" w:rsidRDefault="00D564A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мировых цен сырьевых товаров (прежде всего нефти, газа, металлов)</w:t>
      </w:r>
      <w:r w:rsidR="001060BB">
        <w:rPr>
          <w:rFonts w:ascii="Arial" w:hAnsi="Arial" w:cs="Arial"/>
          <w:sz w:val="20"/>
          <w:szCs w:val="20"/>
        </w:rPr>
        <w:t xml:space="preserve"> со второй половины 2014 года</w:t>
      </w:r>
      <w:r>
        <w:rPr>
          <w:rFonts w:ascii="Arial" w:hAnsi="Arial" w:cs="Arial"/>
          <w:sz w:val="20"/>
          <w:szCs w:val="20"/>
        </w:rPr>
        <w:t xml:space="preserve"> и </w:t>
      </w:r>
      <w:r w:rsidR="001060BB">
        <w:rPr>
          <w:rFonts w:ascii="Arial" w:hAnsi="Arial" w:cs="Arial"/>
          <w:sz w:val="20"/>
          <w:szCs w:val="20"/>
        </w:rPr>
        <w:t xml:space="preserve">вызванное этим </w:t>
      </w:r>
      <w:r>
        <w:rPr>
          <w:rFonts w:ascii="Arial" w:hAnsi="Arial" w:cs="Arial"/>
          <w:sz w:val="20"/>
          <w:szCs w:val="20"/>
        </w:rPr>
        <w:t xml:space="preserve">снижение курса рубля </w:t>
      </w:r>
      <w:r w:rsidR="00C1113D">
        <w:rPr>
          <w:rFonts w:ascii="Arial" w:hAnsi="Arial" w:cs="Arial"/>
          <w:sz w:val="20"/>
          <w:szCs w:val="20"/>
        </w:rPr>
        <w:t xml:space="preserve">по отношению </w:t>
      </w:r>
      <w:r>
        <w:rPr>
          <w:rFonts w:ascii="Arial" w:hAnsi="Arial" w:cs="Arial"/>
          <w:sz w:val="20"/>
          <w:szCs w:val="20"/>
        </w:rPr>
        <w:t xml:space="preserve">к западным валютам </w:t>
      </w:r>
      <w:r w:rsidR="001060BB">
        <w:rPr>
          <w:rFonts w:ascii="Arial" w:hAnsi="Arial" w:cs="Arial"/>
          <w:sz w:val="20"/>
          <w:szCs w:val="20"/>
        </w:rPr>
        <w:t>уже в</w:t>
      </w:r>
      <w:r w:rsidR="005C5233">
        <w:rPr>
          <w:rFonts w:ascii="Arial" w:hAnsi="Arial" w:cs="Arial"/>
          <w:sz w:val="20"/>
          <w:szCs w:val="20"/>
        </w:rPr>
        <w:t xml:space="preserve"> 2015 году </w:t>
      </w:r>
      <w:r w:rsidR="001060BB">
        <w:rPr>
          <w:rFonts w:ascii="Arial" w:hAnsi="Arial" w:cs="Arial"/>
          <w:sz w:val="20"/>
          <w:szCs w:val="20"/>
        </w:rPr>
        <w:t xml:space="preserve">привело к </w:t>
      </w:r>
      <w:r w:rsidR="005C5233">
        <w:rPr>
          <w:rFonts w:ascii="Arial" w:hAnsi="Arial" w:cs="Arial"/>
          <w:sz w:val="20"/>
          <w:szCs w:val="20"/>
        </w:rPr>
        <w:t>сокращени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доходов госбюджета и повышени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цен импортных товаров</w:t>
      </w:r>
      <w:r w:rsidR="00056BB8">
        <w:rPr>
          <w:rFonts w:ascii="Arial" w:hAnsi="Arial" w:cs="Arial"/>
          <w:sz w:val="20"/>
          <w:szCs w:val="20"/>
        </w:rPr>
        <w:t xml:space="preserve"> (как потребительских, так и производственного назначения)</w:t>
      </w:r>
      <w:r w:rsidR="00C1113D">
        <w:rPr>
          <w:rFonts w:ascii="Arial" w:hAnsi="Arial" w:cs="Arial"/>
          <w:sz w:val="20"/>
          <w:szCs w:val="20"/>
        </w:rPr>
        <w:t xml:space="preserve">. Учитывая, что </w:t>
      </w:r>
      <w:r w:rsidR="005C5233">
        <w:rPr>
          <w:rFonts w:ascii="Arial" w:hAnsi="Arial" w:cs="Arial"/>
          <w:sz w:val="20"/>
          <w:szCs w:val="20"/>
        </w:rPr>
        <w:t xml:space="preserve">доля </w:t>
      </w:r>
      <w:r w:rsidR="00C1113D">
        <w:rPr>
          <w:rFonts w:ascii="Arial" w:hAnsi="Arial" w:cs="Arial"/>
          <w:sz w:val="20"/>
          <w:szCs w:val="20"/>
        </w:rPr>
        <w:t xml:space="preserve">импорта </w:t>
      </w:r>
      <w:r w:rsidR="005C5233">
        <w:rPr>
          <w:rFonts w:ascii="Arial" w:hAnsi="Arial" w:cs="Arial"/>
          <w:sz w:val="20"/>
          <w:szCs w:val="20"/>
        </w:rPr>
        <w:t xml:space="preserve">в общем объёме к </w:t>
      </w:r>
      <w:r w:rsidR="0079696A">
        <w:rPr>
          <w:rFonts w:ascii="Arial" w:hAnsi="Arial" w:cs="Arial"/>
          <w:sz w:val="20"/>
          <w:szCs w:val="20"/>
        </w:rPr>
        <w:t xml:space="preserve">тому времени </w:t>
      </w:r>
      <w:r w:rsidR="00C1113D">
        <w:rPr>
          <w:rFonts w:ascii="Arial" w:hAnsi="Arial" w:cs="Arial"/>
          <w:sz w:val="20"/>
          <w:szCs w:val="20"/>
        </w:rPr>
        <w:t xml:space="preserve">составляла более 40%, </w:t>
      </w:r>
      <w:r w:rsidR="00056BB8">
        <w:rPr>
          <w:rFonts w:ascii="Arial" w:hAnsi="Arial" w:cs="Arial"/>
          <w:sz w:val="20"/>
          <w:szCs w:val="20"/>
        </w:rPr>
        <w:t>резко повыси</w:t>
      </w:r>
      <w:r w:rsidR="00600392">
        <w:rPr>
          <w:rFonts w:ascii="Arial" w:hAnsi="Arial" w:cs="Arial"/>
          <w:sz w:val="20"/>
          <w:szCs w:val="20"/>
        </w:rPr>
        <w:t xml:space="preserve">лись </w:t>
      </w:r>
      <w:r w:rsidR="00056BB8">
        <w:rPr>
          <w:rFonts w:ascii="Arial" w:hAnsi="Arial" w:cs="Arial"/>
          <w:sz w:val="20"/>
          <w:szCs w:val="20"/>
        </w:rPr>
        <w:t>цены потребительского рынка и рынка товаров производственного назначения</w:t>
      </w:r>
      <w:r w:rsidR="00E63FCF">
        <w:rPr>
          <w:rFonts w:ascii="Arial" w:hAnsi="Arial" w:cs="Arial"/>
          <w:sz w:val="20"/>
          <w:szCs w:val="20"/>
        </w:rPr>
        <w:t>, что</w:t>
      </w:r>
      <w:r w:rsidR="001060BB">
        <w:rPr>
          <w:rFonts w:ascii="Arial" w:hAnsi="Arial" w:cs="Arial"/>
          <w:sz w:val="20"/>
          <w:szCs w:val="20"/>
        </w:rPr>
        <w:t xml:space="preserve"> обрушило </w:t>
      </w:r>
      <w:r w:rsidR="005C5233">
        <w:rPr>
          <w:rFonts w:ascii="Arial" w:hAnsi="Arial" w:cs="Arial"/>
          <w:sz w:val="20"/>
          <w:szCs w:val="20"/>
        </w:rPr>
        <w:t>реальны</w:t>
      </w:r>
      <w:r w:rsidR="001060BB">
        <w:rPr>
          <w:rFonts w:ascii="Arial" w:hAnsi="Arial" w:cs="Arial"/>
          <w:sz w:val="20"/>
          <w:szCs w:val="20"/>
        </w:rPr>
        <w:t>е</w:t>
      </w:r>
      <w:r w:rsidR="005C5233">
        <w:rPr>
          <w:rFonts w:ascii="Arial" w:hAnsi="Arial" w:cs="Arial"/>
          <w:sz w:val="20"/>
          <w:szCs w:val="20"/>
        </w:rPr>
        <w:t xml:space="preserve"> доход</w:t>
      </w:r>
      <w:r w:rsidR="001060BB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подавляющей части населения</w:t>
      </w:r>
      <w:r w:rsidR="001060BB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и компаний </w:t>
      </w:r>
      <w:r w:rsidR="001060BB">
        <w:rPr>
          <w:rFonts w:ascii="Arial" w:hAnsi="Arial" w:cs="Arial"/>
          <w:sz w:val="20"/>
          <w:szCs w:val="20"/>
        </w:rPr>
        <w:t>и</w:t>
      </w:r>
      <w:r w:rsidR="005C5233">
        <w:rPr>
          <w:rFonts w:ascii="Arial" w:hAnsi="Arial" w:cs="Arial"/>
          <w:sz w:val="20"/>
          <w:szCs w:val="20"/>
        </w:rPr>
        <w:t xml:space="preserve"> резко сократило потребительский спрос</w:t>
      </w:r>
      <w:r w:rsidR="001060BB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выразившись</w:t>
      </w:r>
      <w:r w:rsidR="005C5233">
        <w:rPr>
          <w:rFonts w:ascii="Arial" w:hAnsi="Arial" w:cs="Arial"/>
          <w:sz w:val="20"/>
          <w:szCs w:val="20"/>
        </w:rPr>
        <w:t xml:space="preserve"> в снижении розничного товарооборота и услуг</w:t>
      </w:r>
      <w:proofErr w:type="gramStart"/>
      <w:r w:rsidR="00600392">
        <w:rPr>
          <w:rFonts w:ascii="Arial" w:hAnsi="Arial" w:cs="Arial"/>
          <w:sz w:val="20"/>
          <w:szCs w:val="20"/>
        </w:rPr>
        <w:t>.</w:t>
      </w:r>
      <w:proofErr w:type="gramEnd"/>
      <w:r w:rsidR="00600392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 </w:t>
      </w:r>
      <w:r w:rsidR="00600392">
        <w:rPr>
          <w:rFonts w:ascii="Arial" w:hAnsi="Arial" w:cs="Arial"/>
          <w:sz w:val="20"/>
          <w:szCs w:val="20"/>
        </w:rPr>
        <w:t>Соответственно это отразилось на</w:t>
      </w:r>
      <w:r w:rsidR="00606832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снижении </w:t>
      </w:r>
      <w:r w:rsidR="00AE726C">
        <w:rPr>
          <w:rFonts w:ascii="Arial" w:hAnsi="Arial" w:cs="Arial"/>
          <w:sz w:val="20"/>
          <w:szCs w:val="20"/>
        </w:rPr>
        <w:t xml:space="preserve">количества </w:t>
      </w:r>
      <w:r w:rsidR="00056BB8">
        <w:rPr>
          <w:rFonts w:ascii="Arial" w:hAnsi="Arial" w:cs="Arial"/>
          <w:sz w:val="20"/>
          <w:szCs w:val="20"/>
        </w:rPr>
        <w:t xml:space="preserve">сделок на рынке недвижимости. </w:t>
      </w:r>
      <w:r w:rsidR="001060BB">
        <w:rPr>
          <w:rFonts w:ascii="Arial" w:hAnsi="Arial" w:cs="Arial"/>
          <w:sz w:val="20"/>
          <w:szCs w:val="20"/>
        </w:rPr>
        <w:t>Далее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по цепочке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79696A">
        <w:rPr>
          <w:rFonts w:ascii="Arial" w:hAnsi="Arial" w:cs="Arial"/>
          <w:sz w:val="20"/>
          <w:szCs w:val="20"/>
        </w:rPr>
        <w:t>снизил</w:t>
      </w:r>
      <w:r w:rsidR="001060BB">
        <w:rPr>
          <w:rFonts w:ascii="Arial" w:hAnsi="Arial" w:cs="Arial"/>
          <w:sz w:val="20"/>
          <w:szCs w:val="20"/>
        </w:rPr>
        <w:t>ись</w:t>
      </w:r>
      <w:r w:rsidR="005C5233">
        <w:rPr>
          <w:rFonts w:ascii="Arial" w:hAnsi="Arial" w:cs="Arial"/>
          <w:sz w:val="20"/>
          <w:szCs w:val="20"/>
        </w:rPr>
        <w:t xml:space="preserve"> объём</w:t>
      </w:r>
      <w:r w:rsidR="0079696A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производства товаров </w:t>
      </w:r>
      <w:r w:rsidR="00C1113D">
        <w:rPr>
          <w:rFonts w:ascii="Arial" w:hAnsi="Arial" w:cs="Arial"/>
          <w:sz w:val="20"/>
          <w:szCs w:val="20"/>
        </w:rPr>
        <w:t>и услуг</w:t>
      </w:r>
      <w:r w:rsidR="005C5233">
        <w:rPr>
          <w:rFonts w:ascii="Arial" w:hAnsi="Arial" w:cs="Arial"/>
          <w:sz w:val="20"/>
          <w:szCs w:val="20"/>
        </w:rPr>
        <w:t xml:space="preserve">, </w:t>
      </w:r>
      <w:r w:rsidR="00AE726C">
        <w:rPr>
          <w:rFonts w:ascii="Arial" w:hAnsi="Arial" w:cs="Arial"/>
          <w:sz w:val="20"/>
          <w:szCs w:val="20"/>
        </w:rPr>
        <w:t xml:space="preserve">объёмы торговли товарами производственного назначения, </w:t>
      </w:r>
      <w:r w:rsidR="00056BB8">
        <w:rPr>
          <w:rFonts w:ascii="Arial" w:hAnsi="Arial" w:cs="Arial"/>
          <w:sz w:val="20"/>
          <w:szCs w:val="20"/>
        </w:rPr>
        <w:t>объ</w:t>
      </w:r>
      <w:r w:rsidR="00AE726C">
        <w:rPr>
          <w:rFonts w:ascii="Arial" w:hAnsi="Arial" w:cs="Arial"/>
          <w:sz w:val="20"/>
          <w:szCs w:val="20"/>
        </w:rPr>
        <w:t>ё</w:t>
      </w:r>
      <w:r w:rsidR="00056BB8">
        <w:rPr>
          <w:rFonts w:ascii="Arial" w:hAnsi="Arial" w:cs="Arial"/>
          <w:sz w:val="20"/>
          <w:szCs w:val="20"/>
        </w:rPr>
        <w:t>м</w:t>
      </w:r>
      <w:r w:rsidR="00AE726C">
        <w:rPr>
          <w:rFonts w:ascii="Arial" w:hAnsi="Arial" w:cs="Arial"/>
          <w:sz w:val="20"/>
          <w:szCs w:val="20"/>
        </w:rPr>
        <w:t>ы</w:t>
      </w:r>
      <w:r w:rsidR="00056BB8">
        <w:rPr>
          <w:rFonts w:ascii="Arial" w:hAnsi="Arial" w:cs="Arial"/>
          <w:sz w:val="20"/>
          <w:szCs w:val="20"/>
        </w:rPr>
        <w:t xml:space="preserve"> строительства</w:t>
      </w:r>
      <w:r w:rsidR="00AE726C">
        <w:rPr>
          <w:rFonts w:ascii="Arial" w:hAnsi="Arial" w:cs="Arial"/>
          <w:sz w:val="20"/>
          <w:szCs w:val="20"/>
        </w:rPr>
        <w:t xml:space="preserve">, </w:t>
      </w:r>
      <w:r w:rsidR="00C1113D">
        <w:rPr>
          <w:rFonts w:ascii="Arial" w:hAnsi="Arial" w:cs="Arial"/>
          <w:sz w:val="20"/>
          <w:szCs w:val="20"/>
        </w:rPr>
        <w:t xml:space="preserve">что </w:t>
      </w:r>
      <w:r w:rsidR="0079696A">
        <w:rPr>
          <w:rFonts w:ascii="Arial" w:hAnsi="Arial" w:cs="Arial"/>
          <w:sz w:val="20"/>
          <w:szCs w:val="20"/>
        </w:rPr>
        <w:t>привело к убыткам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C1113D">
        <w:rPr>
          <w:rFonts w:ascii="Arial" w:hAnsi="Arial" w:cs="Arial"/>
          <w:sz w:val="20"/>
          <w:szCs w:val="20"/>
        </w:rPr>
        <w:t xml:space="preserve">большого числа </w:t>
      </w:r>
      <w:r w:rsidR="005C5233">
        <w:rPr>
          <w:rFonts w:ascii="Arial" w:hAnsi="Arial" w:cs="Arial"/>
          <w:sz w:val="20"/>
          <w:szCs w:val="20"/>
        </w:rPr>
        <w:t xml:space="preserve">компаний, занятых </w:t>
      </w:r>
      <w:r w:rsidR="00C1113D">
        <w:rPr>
          <w:rFonts w:ascii="Arial" w:hAnsi="Arial" w:cs="Arial"/>
          <w:sz w:val="20"/>
          <w:szCs w:val="20"/>
        </w:rPr>
        <w:t>в этих отраслях, а также компаний,</w:t>
      </w:r>
      <w:r w:rsidR="005C5233">
        <w:rPr>
          <w:rFonts w:ascii="Arial" w:hAnsi="Arial" w:cs="Arial"/>
          <w:sz w:val="20"/>
          <w:szCs w:val="20"/>
        </w:rPr>
        <w:t xml:space="preserve"> связанных с добывающими отраслями</w:t>
      </w:r>
      <w:r w:rsidR="00C031A8">
        <w:rPr>
          <w:rFonts w:ascii="Arial" w:hAnsi="Arial" w:cs="Arial"/>
          <w:sz w:val="20"/>
          <w:szCs w:val="20"/>
        </w:rPr>
        <w:t>, нарушению хозяйственных связей.</w:t>
      </w:r>
      <w:r w:rsidR="00C1113D">
        <w:rPr>
          <w:rFonts w:ascii="Arial" w:hAnsi="Arial" w:cs="Arial"/>
          <w:sz w:val="20"/>
          <w:szCs w:val="20"/>
        </w:rPr>
        <w:t xml:space="preserve"> Последовали сокращения</w:t>
      </w:r>
      <w:r w:rsidR="0079696A">
        <w:rPr>
          <w:rFonts w:ascii="Arial" w:hAnsi="Arial" w:cs="Arial"/>
          <w:sz w:val="20"/>
          <w:szCs w:val="20"/>
        </w:rPr>
        <w:t xml:space="preserve"> штатов ряда организаций, увольнения работников</w:t>
      </w:r>
      <w:r w:rsidR="00C1113D">
        <w:rPr>
          <w:rFonts w:ascii="Arial" w:hAnsi="Arial" w:cs="Arial"/>
          <w:sz w:val="20"/>
          <w:szCs w:val="20"/>
        </w:rPr>
        <w:t>, рост</w:t>
      </w:r>
      <w:r w:rsidR="0079696A">
        <w:rPr>
          <w:rFonts w:ascii="Arial" w:hAnsi="Arial" w:cs="Arial"/>
          <w:sz w:val="20"/>
          <w:szCs w:val="20"/>
        </w:rPr>
        <w:t xml:space="preserve"> социальной напряжённости</w:t>
      </w:r>
      <w:r w:rsidR="008717C1">
        <w:rPr>
          <w:rFonts w:ascii="Arial" w:hAnsi="Arial" w:cs="Arial"/>
          <w:sz w:val="20"/>
          <w:szCs w:val="20"/>
        </w:rPr>
        <w:t>, падение деловой активности бизнеса</w:t>
      </w:r>
      <w:r w:rsidR="00E63FCF">
        <w:rPr>
          <w:rFonts w:ascii="Arial" w:hAnsi="Arial" w:cs="Arial"/>
          <w:sz w:val="20"/>
          <w:szCs w:val="20"/>
        </w:rPr>
        <w:t xml:space="preserve"> и населения.</w:t>
      </w:r>
      <w:r w:rsidR="00AE726C">
        <w:rPr>
          <w:rFonts w:ascii="Arial" w:hAnsi="Arial" w:cs="Arial"/>
          <w:sz w:val="20"/>
          <w:szCs w:val="20"/>
        </w:rPr>
        <w:t xml:space="preserve"> В начале 2016 года ещё </w:t>
      </w:r>
      <w:r w:rsidR="008717C1">
        <w:rPr>
          <w:rFonts w:ascii="Arial" w:hAnsi="Arial" w:cs="Arial"/>
          <w:sz w:val="20"/>
          <w:szCs w:val="20"/>
        </w:rPr>
        <w:t xml:space="preserve">отчасти </w:t>
      </w:r>
      <w:r w:rsidR="00AE726C">
        <w:rPr>
          <w:rFonts w:ascii="Arial" w:hAnsi="Arial" w:cs="Arial"/>
          <w:sz w:val="20"/>
          <w:szCs w:val="20"/>
        </w:rPr>
        <w:t>продолжал</w:t>
      </w:r>
      <w:r w:rsidR="008717C1">
        <w:rPr>
          <w:rFonts w:ascii="Arial" w:hAnsi="Arial" w:cs="Arial"/>
          <w:sz w:val="20"/>
          <w:szCs w:val="20"/>
        </w:rPr>
        <w:t>и</w:t>
      </w:r>
      <w:r w:rsidR="00AE726C">
        <w:rPr>
          <w:rFonts w:ascii="Arial" w:hAnsi="Arial" w:cs="Arial"/>
          <w:sz w:val="20"/>
          <w:szCs w:val="20"/>
        </w:rPr>
        <w:t xml:space="preserve">сь </w:t>
      </w:r>
      <w:r w:rsidR="008717C1">
        <w:rPr>
          <w:rFonts w:ascii="Arial" w:hAnsi="Arial" w:cs="Arial"/>
          <w:sz w:val="20"/>
          <w:szCs w:val="20"/>
        </w:rPr>
        <w:t>эти деструктивные события, но</w:t>
      </w:r>
      <w:r w:rsidR="0080398A">
        <w:rPr>
          <w:rFonts w:ascii="Arial" w:hAnsi="Arial" w:cs="Arial"/>
          <w:sz w:val="20"/>
          <w:szCs w:val="20"/>
        </w:rPr>
        <w:t>, в том числе на фоне стабилизации мировых цен на сырьё,</w:t>
      </w:r>
      <w:r w:rsidR="008717C1">
        <w:rPr>
          <w:rFonts w:ascii="Arial" w:hAnsi="Arial" w:cs="Arial"/>
          <w:sz w:val="20"/>
          <w:szCs w:val="20"/>
        </w:rPr>
        <w:t xml:space="preserve"> </w:t>
      </w:r>
      <w:r w:rsidR="0080398A">
        <w:rPr>
          <w:rFonts w:ascii="Arial" w:hAnsi="Arial" w:cs="Arial"/>
          <w:sz w:val="20"/>
          <w:szCs w:val="20"/>
        </w:rPr>
        <w:t xml:space="preserve">уже </w:t>
      </w:r>
      <w:r w:rsidR="008717C1">
        <w:rPr>
          <w:rFonts w:ascii="Arial" w:hAnsi="Arial" w:cs="Arial"/>
          <w:sz w:val="20"/>
          <w:szCs w:val="20"/>
        </w:rPr>
        <w:t xml:space="preserve">наметилась тенденция </w:t>
      </w:r>
      <w:r w:rsidR="00EE5E90">
        <w:rPr>
          <w:rFonts w:ascii="Arial" w:hAnsi="Arial" w:cs="Arial"/>
          <w:sz w:val="20"/>
          <w:szCs w:val="20"/>
        </w:rPr>
        <w:t xml:space="preserve">восстановления и роста </w:t>
      </w:r>
      <w:r w:rsidR="00E63FCF">
        <w:rPr>
          <w:rFonts w:ascii="Arial" w:hAnsi="Arial" w:cs="Arial"/>
          <w:sz w:val="20"/>
          <w:szCs w:val="20"/>
        </w:rPr>
        <w:t>макро</w:t>
      </w:r>
      <w:r w:rsidR="00EE5E90">
        <w:rPr>
          <w:rFonts w:ascii="Arial" w:hAnsi="Arial" w:cs="Arial"/>
          <w:sz w:val="20"/>
          <w:szCs w:val="20"/>
        </w:rPr>
        <w:t>экономических показателей.</w:t>
      </w:r>
      <w:r w:rsidR="00AE726C">
        <w:rPr>
          <w:rFonts w:ascii="Arial" w:hAnsi="Arial" w:cs="Arial"/>
          <w:sz w:val="20"/>
          <w:szCs w:val="20"/>
        </w:rPr>
        <w:t xml:space="preserve">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Сработала и </w:t>
      </w:r>
      <w:r w:rsidR="00743E94">
        <w:rPr>
          <w:rFonts w:ascii="Arial" w:hAnsi="Arial" w:cs="Arial"/>
          <w:bCs/>
          <w:sz w:val="20"/>
          <w:szCs w:val="20"/>
        </w:rPr>
        <w:t xml:space="preserve">государственная </w:t>
      </w:r>
      <w:r w:rsidR="00A40452" w:rsidRPr="00A40452">
        <w:rPr>
          <w:rFonts w:ascii="Arial" w:hAnsi="Arial" w:cs="Arial"/>
          <w:bCs/>
          <w:sz w:val="20"/>
          <w:szCs w:val="20"/>
        </w:rPr>
        <w:t>политика  импортозамещения - объёмы импорта продовольствия в Россию снизились за время действия продовольственного эмбарго в 3 раза (с 60 до 20 </w:t>
      </w:r>
      <w:proofErr w:type="gramStart"/>
      <w:r w:rsidR="00A40452" w:rsidRPr="00A40452">
        <w:rPr>
          <w:rFonts w:ascii="Arial" w:hAnsi="Arial" w:cs="Arial"/>
          <w:bCs/>
          <w:sz w:val="20"/>
          <w:szCs w:val="20"/>
        </w:rPr>
        <w:t>млрд</w:t>
      </w:r>
      <w:proofErr w:type="gramEnd"/>
      <w:r w:rsidR="00A40452" w:rsidRPr="00A40452">
        <w:rPr>
          <w:rFonts w:ascii="Arial" w:hAnsi="Arial" w:cs="Arial"/>
          <w:bCs/>
          <w:sz w:val="20"/>
          <w:szCs w:val="20"/>
        </w:rPr>
        <w:t xml:space="preserve"> долларов). Замещена основная часть украинских товаров.</w:t>
      </w:r>
    </w:p>
    <w:p w:rsidR="00FC09C3" w:rsidRPr="00CD6630" w:rsidRDefault="003F3DFE" w:rsidP="00A40452">
      <w:pPr>
        <w:spacing w:after="0" w:line="240" w:lineRule="auto"/>
        <w:ind w:firstLine="426"/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F0C1B">
        <w:rPr>
          <w:rFonts w:ascii="Arial" w:hAnsi="Arial" w:cs="Arial"/>
          <w:sz w:val="20"/>
          <w:szCs w:val="20"/>
        </w:rPr>
        <w:t xml:space="preserve"> после падения </w:t>
      </w:r>
      <w:r w:rsidR="005E3684">
        <w:rPr>
          <w:rFonts w:ascii="Arial" w:hAnsi="Arial" w:cs="Arial"/>
          <w:sz w:val="20"/>
          <w:szCs w:val="20"/>
        </w:rPr>
        <w:t xml:space="preserve">в </w:t>
      </w:r>
      <w:r w:rsidR="001F0C1B">
        <w:rPr>
          <w:rFonts w:ascii="Arial" w:hAnsi="Arial" w:cs="Arial"/>
          <w:sz w:val="20"/>
          <w:szCs w:val="20"/>
        </w:rPr>
        <w:t>2015 год</w:t>
      </w:r>
      <w:r w:rsidR="005E3684">
        <w:rPr>
          <w:rFonts w:ascii="Arial" w:hAnsi="Arial" w:cs="Arial"/>
          <w:sz w:val="20"/>
          <w:szCs w:val="20"/>
        </w:rPr>
        <w:t>у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начиная с 2016 года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</w:t>
      </w:r>
      <w:r w:rsidR="00F8606B">
        <w:rPr>
          <w:rFonts w:ascii="Arial" w:hAnsi="Arial" w:cs="Arial"/>
          <w:sz w:val="20"/>
          <w:szCs w:val="20"/>
        </w:rPr>
        <w:t xml:space="preserve">в целом </w:t>
      </w:r>
      <w:r w:rsidR="001F0C1B">
        <w:rPr>
          <w:rFonts w:ascii="Arial" w:hAnsi="Arial" w:cs="Arial"/>
          <w:sz w:val="20"/>
          <w:szCs w:val="20"/>
        </w:rPr>
        <w:t>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DE3D00">
        <w:rPr>
          <w:rFonts w:ascii="Arial" w:hAnsi="Arial" w:cs="Arial"/>
          <w:sz w:val="20"/>
          <w:szCs w:val="20"/>
        </w:rPr>
        <w:t>Но такая положительная динамика проявляется не только по причине действия «невидимой руки рынка»,</w:t>
      </w:r>
      <w:r w:rsidR="00EE5E90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проявления рыночных законов</w:t>
      </w:r>
      <w:r w:rsidR="00606832">
        <w:rPr>
          <w:rFonts w:ascii="Arial" w:hAnsi="Arial" w:cs="Arial"/>
          <w:sz w:val="20"/>
          <w:szCs w:val="20"/>
        </w:rPr>
        <w:t>.</w:t>
      </w:r>
      <w:r w:rsidR="00E63FCF">
        <w:rPr>
          <w:rFonts w:ascii="Arial" w:hAnsi="Arial" w:cs="Arial"/>
          <w:sz w:val="20"/>
          <w:szCs w:val="20"/>
        </w:rPr>
        <w:t xml:space="preserve"> </w:t>
      </w:r>
      <w:r w:rsidR="00606832">
        <w:rPr>
          <w:rFonts w:ascii="Arial" w:hAnsi="Arial" w:cs="Arial"/>
          <w:sz w:val="20"/>
          <w:szCs w:val="20"/>
        </w:rPr>
        <w:t>Эт</w:t>
      </w:r>
      <w:r w:rsidR="00DE3D00">
        <w:rPr>
          <w:rFonts w:ascii="Arial" w:hAnsi="Arial" w:cs="Arial"/>
          <w:sz w:val="20"/>
          <w:szCs w:val="20"/>
        </w:rPr>
        <w:t>ого было бы недостаточно</w:t>
      </w:r>
      <w:r w:rsidR="00E63FCF">
        <w:rPr>
          <w:rFonts w:ascii="Arial" w:hAnsi="Arial" w:cs="Arial"/>
          <w:sz w:val="20"/>
          <w:szCs w:val="20"/>
        </w:rPr>
        <w:t>. 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направлено и исполняются</w:t>
      </w:r>
      <w:r w:rsidR="005B2BF5">
        <w:rPr>
          <w:rFonts w:ascii="Arial" w:hAnsi="Arial" w:cs="Arial"/>
          <w:sz w:val="20"/>
          <w:szCs w:val="20"/>
        </w:rPr>
        <w:t xml:space="preserve"> 18 </w:t>
      </w:r>
      <w:r w:rsidR="00E40778">
        <w:rPr>
          <w:rFonts w:ascii="Arial" w:hAnsi="Arial" w:cs="Arial"/>
          <w:sz w:val="20"/>
          <w:szCs w:val="20"/>
        </w:rPr>
        <w:t xml:space="preserve">федеральных целевых </w:t>
      </w:r>
      <w:r w:rsidR="005B2BF5">
        <w:rPr>
          <w:rFonts w:ascii="Arial" w:hAnsi="Arial" w:cs="Arial"/>
          <w:sz w:val="20"/>
          <w:szCs w:val="20"/>
        </w:rPr>
        <w:t xml:space="preserve">программ </w:t>
      </w:r>
      <w:r w:rsidR="00E40778">
        <w:rPr>
          <w:rFonts w:ascii="Arial" w:hAnsi="Arial" w:cs="Arial"/>
          <w:sz w:val="20"/>
          <w:szCs w:val="20"/>
        </w:rPr>
        <w:t xml:space="preserve">направления </w:t>
      </w:r>
      <w:r w:rsidR="005B2BF5">
        <w:rPr>
          <w:rFonts w:ascii="Arial" w:hAnsi="Arial" w:cs="Arial"/>
          <w:sz w:val="20"/>
          <w:szCs w:val="20"/>
        </w:rPr>
        <w:t>«</w:t>
      </w:r>
      <w:hyperlink r:id="rId9" w:history="1">
        <w:r w:rsidR="005B2BF5" w:rsidRPr="005B2BF5">
          <w:rPr>
            <w:rStyle w:val="a4"/>
            <w:rFonts w:ascii="Arial" w:hAnsi="Arial" w:cs="Arial"/>
            <w:sz w:val="20"/>
            <w:szCs w:val="20"/>
          </w:rPr>
          <w:t>Инновационное развитие и модернизация экономики</w:t>
        </w:r>
      </w:hyperlink>
      <w:r w:rsidR="005B2BF5">
        <w:rPr>
          <w:rFonts w:ascii="Arial" w:hAnsi="Arial" w:cs="Arial"/>
          <w:sz w:val="20"/>
          <w:szCs w:val="20"/>
        </w:rPr>
        <w:t xml:space="preserve">». </w:t>
      </w:r>
      <w:r w:rsidR="00D564A2">
        <w:rPr>
          <w:rFonts w:ascii="Arial" w:hAnsi="Arial" w:cs="Arial"/>
          <w:sz w:val="20"/>
          <w:szCs w:val="20"/>
        </w:rPr>
        <w:t>Структурная реформа долгосрочна и</w:t>
      </w:r>
      <w:r w:rsidR="004B503F">
        <w:rPr>
          <w:rFonts w:ascii="Arial" w:hAnsi="Arial" w:cs="Arial"/>
          <w:sz w:val="20"/>
          <w:szCs w:val="20"/>
        </w:rPr>
        <w:t xml:space="preserve">, к сожалению, </w:t>
      </w:r>
      <w:r w:rsidR="00741994">
        <w:rPr>
          <w:rFonts w:ascii="Arial" w:hAnsi="Arial" w:cs="Arial"/>
          <w:sz w:val="20"/>
          <w:szCs w:val="20"/>
        </w:rPr>
        <w:t>неизбежно сопро</w:t>
      </w:r>
      <w:r w:rsidR="00606832">
        <w:rPr>
          <w:rFonts w:ascii="Arial" w:hAnsi="Arial" w:cs="Arial"/>
          <w:sz w:val="20"/>
          <w:szCs w:val="20"/>
        </w:rPr>
        <w:t>вождается падением уровня реальных доходов населения</w:t>
      </w:r>
      <w:r w:rsidR="00741994">
        <w:rPr>
          <w:rFonts w:ascii="Arial" w:hAnsi="Arial" w:cs="Arial"/>
          <w:sz w:val="20"/>
          <w:szCs w:val="20"/>
        </w:rPr>
        <w:t>.</w:t>
      </w:r>
      <w:r w:rsidR="004B503F">
        <w:rPr>
          <w:rFonts w:ascii="Arial" w:hAnsi="Arial" w:cs="Arial"/>
          <w:sz w:val="20"/>
          <w:szCs w:val="20"/>
        </w:rPr>
        <w:t xml:space="preserve"> Учитывая это, запланированы и реализуются </w:t>
      </w:r>
      <w:r w:rsidR="00E86AB3">
        <w:rPr>
          <w:rFonts w:ascii="Arial" w:hAnsi="Arial" w:cs="Arial"/>
          <w:sz w:val="20"/>
          <w:szCs w:val="20"/>
        </w:rPr>
        <w:t xml:space="preserve">14 </w:t>
      </w:r>
      <w:r w:rsidR="00D564A2">
        <w:rPr>
          <w:rFonts w:ascii="Arial" w:hAnsi="Arial" w:cs="Arial"/>
          <w:sz w:val="20"/>
          <w:szCs w:val="20"/>
        </w:rPr>
        <w:t xml:space="preserve">социальных </w:t>
      </w:r>
      <w:r w:rsidR="00DE3D00">
        <w:rPr>
          <w:rFonts w:ascii="Arial" w:hAnsi="Arial" w:cs="Arial"/>
          <w:sz w:val="20"/>
          <w:szCs w:val="20"/>
        </w:rPr>
        <w:t>гос</w:t>
      </w:r>
      <w:r w:rsidR="004B503F">
        <w:rPr>
          <w:rFonts w:ascii="Arial" w:hAnsi="Arial" w:cs="Arial"/>
          <w:sz w:val="20"/>
          <w:szCs w:val="20"/>
        </w:rPr>
        <w:t>программ</w:t>
      </w:r>
      <w:r w:rsidR="00E86AB3">
        <w:rPr>
          <w:rFonts w:ascii="Arial" w:hAnsi="Arial" w:cs="Arial"/>
          <w:sz w:val="20"/>
          <w:szCs w:val="20"/>
        </w:rPr>
        <w:t>, в том числе,</w:t>
      </w:r>
      <w:r w:rsidR="004B503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B503F" w:rsidRPr="00E86AB3">
          <w:rPr>
            <w:rStyle w:val="a4"/>
            <w:rFonts w:ascii="Arial" w:hAnsi="Arial" w:cs="Arial"/>
            <w:sz w:val="20"/>
            <w:szCs w:val="20"/>
          </w:rPr>
          <w:t>социальной поддержки</w:t>
        </w:r>
      </w:hyperlink>
      <w:r w:rsidR="00E86AB3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E86AB3" w:rsidRPr="00E86AB3">
          <w:rPr>
            <w:rStyle w:val="a4"/>
            <w:rFonts w:ascii="Arial" w:hAnsi="Arial" w:cs="Arial"/>
            <w:sz w:val="20"/>
            <w:szCs w:val="20"/>
          </w:rPr>
          <w:t>занятости населения</w:t>
        </w:r>
      </w:hyperlink>
      <w:r w:rsidR="00A40452">
        <w:rPr>
          <w:rFonts w:ascii="Arial" w:hAnsi="Arial" w:cs="Arial"/>
          <w:sz w:val="20"/>
          <w:szCs w:val="20"/>
        </w:rPr>
        <w:t xml:space="preserve"> и другие. </w:t>
      </w:r>
      <w:r w:rsidR="00795907">
        <w:rPr>
          <w:rFonts w:ascii="Arial" w:hAnsi="Arial" w:cs="Arial"/>
          <w:bCs/>
          <w:sz w:val="20"/>
          <w:szCs w:val="20"/>
        </w:rPr>
        <w:t>Следовательно,</w:t>
      </w:r>
      <w:r w:rsidR="00795907" w:rsidRPr="00795907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учитывая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высокую 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D70DE6">
        <w:rPr>
          <w:rFonts w:ascii="Arial" w:hAnsi="Arial" w:cs="Arial"/>
          <w:bCs/>
          <w:sz w:val="20"/>
          <w:szCs w:val="20"/>
        </w:rPr>
        <w:t>перечисленные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600392">
        <w:rPr>
          <w:rFonts w:ascii="Arial" w:hAnsi="Arial" w:cs="Arial"/>
          <w:bCs/>
          <w:sz w:val="20"/>
          <w:szCs w:val="20"/>
        </w:rPr>
        <w:t>июл</w:t>
      </w:r>
      <w:r w:rsidR="00372B0C">
        <w:rPr>
          <w:rFonts w:ascii="Arial" w:hAnsi="Arial" w:cs="Arial"/>
          <w:bCs/>
          <w:sz w:val="20"/>
          <w:szCs w:val="20"/>
        </w:rPr>
        <w:t>ь</w:t>
      </w:r>
      <w:r w:rsidR="00E40778">
        <w:rPr>
          <w:rFonts w:ascii="Arial" w:hAnsi="Arial" w:cs="Arial"/>
          <w:bCs/>
          <w:sz w:val="20"/>
          <w:szCs w:val="20"/>
        </w:rPr>
        <w:t xml:space="preserve"> 2017 года и опережающие темпы роста важнейших отраслей на основе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подход</w:t>
      </w:r>
      <w:r w:rsidR="00E40778">
        <w:rPr>
          <w:rFonts w:ascii="Arial" w:hAnsi="Arial" w:cs="Arial"/>
          <w:bCs/>
          <w:sz w:val="20"/>
          <w:szCs w:val="20"/>
        </w:rPr>
        <w:t>а</w:t>
      </w:r>
      <w:r w:rsidR="00C031A8">
        <w:rPr>
          <w:rFonts w:ascii="Arial" w:hAnsi="Arial" w:cs="Arial"/>
          <w:bCs/>
          <w:sz w:val="20"/>
          <w:szCs w:val="20"/>
        </w:rPr>
        <w:t xml:space="preserve"> и контрол</w:t>
      </w:r>
      <w:r w:rsidR="00E40778">
        <w:rPr>
          <w:rFonts w:ascii="Arial" w:hAnsi="Arial" w:cs="Arial"/>
          <w:bCs/>
          <w:sz w:val="20"/>
          <w:szCs w:val="20"/>
        </w:rPr>
        <w:t>я</w:t>
      </w:r>
      <w:r w:rsidR="00C031A8">
        <w:rPr>
          <w:rFonts w:ascii="Arial" w:hAnsi="Arial" w:cs="Arial"/>
          <w:bCs/>
          <w:sz w:val="20"/>
          <w:szCs w:val="20"/>
        </w:rPr>
        <w:t xml:space="preserve"> 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600392">
        <w:rPr>
          <w:rFonts w:ascii="Arial" w:hAnsi="Arial" w:cs="Arial"/>
          <w:bCs/>
          <w:sz w:val="20"/>
          <w:szCs w:val="20"/>
        </w:rPr>
        <w:t xml:space="preserve"> ВВП в пределах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600392">
        <w:rPr>
          <w:rFonts w:ascii="Arial" w:hAnsi="Arial" w:cs="Arial"/>
          <w:bCs/>
          <w:sz w:val="20"/>
          <w:szCs w:val="20"/>
        </w:rPr>
        <w:t xml:space="preserve"> – 2,5</w:t>
      </w:r>
      <w:r w:rsidR="007D7764">
        <w:rPr>
          <w:rFonts w:ascii="Arial" w:hAnsi="Arial" w:cs="Arial"/>
          <w:bCs/>
          <w:sz w:val="20"/>
          <w:szCs w:val="20"/>
        </w:rPr>
        <w:t xml:space="preserve"> % в течение 2017 года</w:t>
      </w:r>
      <w:r w:rsidR="00D70DE6">
        <w:rPr>
          <w:rFonts w:ascii="Arial" w:hAnsi="Arial" w:cs="Arial"/>
          <w:bCs/>
          <w:sz w:val="20"/>
          <w:szCs w:val="20"/>
        </w:rPr>
        <w:t xml:space="preserve">, а при благоприятной </w:t>
      </w:r>
      <w:r w:rsidR="003927FB">
        <w:rPr>
          <w:rFonts w:ascii="Arial" w:hAnsi="Arial" w:cs="Arial"/>
          <w:bCs/>
          <w:sz w:val="20"/>
          <w:szCs w:val="20"/>
        </w:rPr>
        <w:t xml:space="preserve">внешнеполитической </w:t>
      </w:r>
      <w:r w:rsidR="00D70DE6">
        <w:rPr>
          <w:rFonts w:ascii="Arial" w:hAnsi="Arial" w:cs="Arial"/>
          <w:bCs/>
          <w:sz w:val="20"/>
          <w:szCs w:val="20"/>
        </w:rPr>
        <w:t xml:space="preserve">конъюнктуре </w:t>
      </w:r>
      <w:r w:rsidR="00FA0F43">
        <w:rPr>
          <w:rFonts w:ascii="Arial" w:hAnsi="Arial" w:cs="Arial"/>
          <w:bCs/>
          <w:sz w:val="20"/>
          <w:szCs w:val="20"/>
        </w:rPr>
        <w:t>–</w:t>
      </w:r>
      <w:r w:rsidR="00D70DE6">
        <w:rPr>
          <w:rFonts w:ascii="Arial" w:hAnsi="Arial" w:cs="Arial"/>
          <w:bCs/>
          <w:sz w:val="20"/>
          <w:szCs w:val="20"/>
        </w:rPr>
        <w:t xml:space="preserve"> </w:t>
      </w:r>
      <w:r w:rsidR="003927FB">
        <w:rPr>
          <w:rFonts w:ascii="Arial" w:hAnsi="Arial" w:cs="Arial"/>
          <w:bCs/>
          <w:sz w:val="20"/>
          <w:szCs w:val="20"/>
        </w:rPr>
        <w:t>до 3 %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хорошие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A40452">
        <w:rPr>
          <w:rFonts w:ascii="Arial" w:hAnsi="Arial" w:cs="Arial"/>
          <w:bCs/>
          <w:color w:val="00B050"/>
          <w:sz w:val="20"/>
          <w:szCs w:val="20"/>
        </w:rPr>
        <w:t>.</w:t>
      </w:r>
      <w:proofErr w:type="gramEnd"/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C0BD3">
        <w:rPr>
          <w:rFonts w:ascii="Arial" w:hAnsi="Arial" w:cs="Arial"/>
          <w:bCs/>
          <w:sz w:val="20"/>
          <w:szCs w:val="20"/>
        </w:rPr>
        <w:t>Как показала практика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, </w:t>
      </w:r>
      <w:r w:rsidR="00D22060" w:rsidRPr="00205EE4">
        <w:rPr>
          <w:rFonts w:ascii="Arial" w:hAnsi="Arial" w:cs="Arial"/>
          <w:bCs/>
          <w:sz w:val="20"/>
          <w:szCs w:val="20"/>
        </w:rPr>
        <w:t>российские компании и их западные партнеры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При положительной тенденции инвестиционной активности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CD6630">
        <w:rPr>
          <w:rFonts w:ascii="Arial" w:hAnsi="Arial" w:cs="Arial"/>
          <w:bCs/>
          <w:sz w:val="20"/>
          <w:szCs w:val="20"/>
        </w:rPr>
        <w:t xml:space="preserve"> рост ВВП до 5 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326148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</w:t>
      </w:r>
      <w:proofErr w:type="gramStart"/>
      <w:r w:rsidR="00FD4338">
        <w:rPr>
          <w:rFonts w:ascii="Arial" w:hAnsi="Arial" w:cs="Arial"/>
          <w:sz w:val="20"/>
          <w:szCs w:val="20"/>
        </w:rPr>
        <w:t>роль</w:t>
      </w:r>
      <w:proofErr w:type="gramEnd"/>
      <w:r w:rsidR="00FD4338">
        <w:rPr>
          <w:rFonts w:ascii="Arial" w:hAnsi="Arial" w:cs="Arial"/>
          <w:sz w:val="20"/>
          <w:szCs w:val="20"/>
        </w:rPr>
        <w:t xml:space="preserve"> </w:t>
      </w:r>
      <w:r w:rsidR="004202BC">
        <w:rPr>
          <w:rFonts w:ascii="Arial" w:hAnsi="Arial" w:cs="Arial"/>
          <w:sz w:val="20"/>
          <w:szCs w:val="20"/>
        </w:rPr>
        <w:t>как для населения, так и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4202BC">
        <w:rPr>
          <w:rFonts w:ascii="Arial" w:hAnsi="Arial" w:cs="Arial"/>
          <w:sz w:val="20"/>
          <w:szCs w:val="20"/>
        </w:rPr>
        <w:t>а, и в целом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8D4026">
        <w:rPr>
          <w:rFonts w:ascii="Arial" w:hAnsi="Arial" w:cs="Arial"/>
          <w:sz w:val="20"/>
          <w:szCs w:val="20"/>
        </w:rPr>
        <w:t>определяющее</w:t>
      </w:r>
      <w:r w:rsidR="00FF4926">
        <w:rPr>
          <w:rFonts w:ascii="Arial" w:hAnsi="Arial" w:cs="Arial"/>
          <w:sz w:val="20"/>
          <w:szCs w:val="20"/>
        </w:rPr>
        <w:t xml:space="preserve"> значение для ценности зданий и сооружений име</w:t>
      </w:r>
      <w:r w:rsidR="008D4026">
        <w:rPr>
          <w:rFonts w:ascii="Arial" w:hAnsi="Arial" w:cs="Arial"/>
          <w:sz w:val="20"/>
          <w:szCs w:val="20"/>
        </w:rPr>
        <w:t>ю</w:t>
      </w:r>
      <w:r w:rsidR="00FF4926">
        <w:rPr>
          <w:rFonts w:ascii="Arial" w:hAnsi="Arial" w:cs="Arial"/>
          <w:sz w:val="20"/>
          <w:szCs w:val="20"/>
        </w:rPr>
        <w:t xml:space="preserve">т </w:t>
      </w:r>
      <w:r w:rsidR="008D4026">
        <w:rPr>
          <w:rFonts w:ascii="Arial" w:hAnsi="Arial" w:cs="Arial"/>
          <w:sz w:val="20"/>
          <w:szCs w:val="20"/>
        </w:rPr>
        <w:t>местоположение</w:t>
      </w:r>
      <w:r w:rsidR="007D55E6">
        <w:rPr>
          <w:rFonts w:ascii="Arial" w:hAnsi="Arial" w:cs="Arial"/>
          <w:sz w:val="20"/>
          <w:szCs w:val="20"/>
        </w:rPr>
        <w:t>, окружение</w:t>
      </w:r>
      <w:r w:rsidR="008D4026">
        <w:rPr>
          <w:rFonts w:ascii="Arial" w:hAnsi="Arial" w:cs="Arial"/>
          <w:sz w:val="20"/>
          <w:szCs w:val="20"/>
        </w:rPr>
        <w:t xml:space="preserve"> и </w:t>
      </w:r>
      <w:r w:rsidR="00FF4926">
        <w:rPr>
          <w:rFonts w:ascii="Arial" w:hAnsi="Arial" w:cs="Arial"/>
          <w:sz w:val="20"/>
          <w:szCs w:val="20"/>
        </w:rPr>
        <w:t>качественное состояние</w:t>
      </w:r>
      <w:r w:rsidR="00092E78">
        <w:rPr>
          <w:rFonts w:ascii="Arial" w:hAnsi="Arial" w:cs="Arial"/>
          <w:sz w:val="20"/>
          <w:szCs w:val="20"/>
        </w:rPr>
        <w:t xml:space="preserve"> постройки.</w:t>
      </w:r>
      <w:r w:rsidR="008D4026">
        <w:rPr>
          <w:rFonts w:ascii="Arial" w:hAnsi="Arial" w:cs="Arial"/>
          <w:sz w:val="20"/>
          <w:szCs w:val="20"/>
        </w:rPr>
        <w:t xml:space="preserve"> </w:t>
      </w:r>
      <w:r w:rsidR="003A4F3A">
        <w:rPr>
          <w:rFonts w:ascii="Arial" w:hAnsi="Arial" w:cs="Arial"/>
          <w:sz w:val="20"/>
          <w:szCs w:val="20"/>
        </w:rPr>
        <w:t xml:space="preserve">Качественные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743E94" w:rsidRDefault="00326148" w:rsidP="0032614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Корректировка цен недвижимости </w:t>
      </w:r>
      <w:r w:rsidR="00743E94">
        <w:rPr>
          <w:rFonts w:ascii="Arial" w:hAnsi="Arial" w:cs="Arial"/>
          <w:sz w:val="20"/>
          <w:szCs w:val="20"/>
        </w:rPr>
        <w:t xml:space="preserve">2015 – 2016 гг. </w:t>
      </w:r>
      <w:r>
        <w:rPr>
          <w:rFonts w:ascii="Arial" w:hAnsi="Arial" w:cs="Arial"/>
          <w:sz w:val="20"/>
          <w:szCs w:val="20"/>
        </w:rPr>
        <w:t>оздоровила рынок и сегодня</w:t>
      </w:r>
      <w:r w:rsidR="00777D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r w:rsidR="00777D84">
        <w:rPr>
          <w:rFonts w:ascii="Arial" w:hAnsi="Arial" w:cs="Arial"/>
          <w:sz w:val="20"/>
          <w:szCs w:val="20"/>
        </w:rPr>
        <w:t xml:space="preserve">российского рынка </w:t>
      </w:r>
      <w:r w:rsidR="00743E94">
        <w:rPr>
          <w:rFonts w:ascii="Arial" w:hAnsi="Arial" w:cs="Arial"/>
          <w:sz w:val="20"/>
          <w:szCs w:val="20"/>
        </w:rPr>
        <w:t xml:space="preserve"> огромный потенциал роста:</w:t>
      </w:r>
      <w:r w:rsidR="00777D84">
        <w:rPr>
          <w:rFonts w:ascii="Arial" w:hAnsi="Arial" w:cs="Arial"/>
          <w:sz w:val="20"/>
          <w:szCs w:val="20"/>
        </w:rPr>
        <w:t xml:space="preserve"> </w:t>
      </w:r>
    </w:p>
    <w:p w:rsidR="00743E94" w:rsidRPr="00326148" w:rsidRDefault="00743E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743E94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Pr="00743E94">
        <w:rPr>
          <w:rFonts w:ascii="Arial" w:hAnsi="Arial" w:cs="Arial"/>
          <w:sz w:val="20"/>
          <w:szCs w:val="20"/>
        </w:rPr>
        <w:t xml:space="preserve"> в 2014 году лишь 6,2 % опрошенных лиц были не удовлетворены своими жилищными условиями по сравнению с 15,2 % в 2005 году. Снижение интереса объяснимо повышением затрат на содержание жилья и снижением реальных доходов населения. В таких условиях спросом пользуются в основном качественные объекты </w:t>
      </w:r>
      <w:proofErr w:type="gramStart"/>
      <w:r w:rsidRPr="00743E94">
        <w:rPr>
          <w:rFonts w:ascii="Arial" w:hAnsi="Arial" w:cs="Arial"/>
          <w:sz w:val="20"/>
          <w:szCs w:val="20"/>
        </w:rPr>
        <w:t>эконом-класса</w:t>
      </w:r>
      <w:proofErr w:type="gramEnd"/>
      <w:r w:rsidRPr="00743E94">
        <w:rPr>
          <w:rFonts w:ascii="Arial" w:hAnsi="Arial" w:cs="Arial"/>
          <w:sz w:val="20"/>
          <w:szCs w:val="20"/>
        </w:rPr>
        <w:t xml:space="preserve">, а также объекты в перспективных развивающихся районах. В общих объёмах продаж по-прежнему высока доля спекулятивной составляющей. Тот, у кого есть свободные деньги, смело приобретает перспективную недвижимость с </w:t>
      </w:r>
      <w:r w:rsidRPr="00743E94">
        <w:rPr>
          <w:rFonts w:ascii="Arial" w:hAnsi="Arial" w:cs="Arial"/>
          <w:sz w:val="20"/>
          <w:szCs w:val="20"/>
        </w:rPr>
        <w:lastRenderedPageBreak/>
        <w:t xml:space="preserve">целью перепродажи в будущем или в рентных целях. </w:t>
      </w:r>
      <w:r w:rsidR="00326148">
        <w:rPr>
          <w:rFonts w:ascii="Arial" w:hAnsi="Arial" w:cs="Arial"/>
          <w:sz w:val="20"/>
          <w:szCs w:val="20"/>
        </w:rPr>
        <w:t xml:space="preserve">По мере стабилизации и общеэкономического роста в рост пойдут и другие сегменты рынка жилья. </w:t>
      </w:r>
      <w:r w:rsidR="006A1F86" w:rsidRPr="00326148">
        <w:rPr>
          <w:rFonts w:ascii="Arial" w:hAnsi="Arial" w:cs="Arial"/>
          <w:sz w:val="20"/>
          <w:szCs w:val="20"/>
        </w:rPr>
        <w:t xml:space="preserve">Вероятно, </w:t>
      </w:r>
      <w:r w:rsidR="00ED2405" w:rsidRPr="00326148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="006A1F86"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26148">
        <w:rPr>
          <w:rFonts w:ascii="Arial" w:hAnsi="Arial" w:cs="Arial"/>
          <w:sz w:val="20"/>
          <w:szCs w:val="20"/>
        </w:rPr>
        <w:t xml:space="preserve">жильём </w:t>
      </w:r>
      <w:r w:rsidR="000351BE" w:rsidRPr="0032614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26148">
        <w:rPr>
          <w:rFonts w:ascii="Arial" w:hAnsi="Arial" w:cs="Arial"/>
          <w:sz w:val="20"/>
          <w:szCs w:val="20"/>
        </w:rPr>
        <w:t>в перспективе</w:t>
      </w:r>
      <w:r w:rsidR="000351BE" w:rsidRPr="00326148">
        <w:rPr>
          <w:rFonts w:ascii="Arial" w:hAnsi="Arial" w:cs="Arial"/>
          <w:sz w:val="20"/>
          <w:szCs w:val="20"/>
        </w:rPr>
        <w:t xml:space="preserve"> стремиться к 40 кв.м./чел. (сейчас у нас 24,4 кв.м./чел.), а доля съёмного жилья </w:t>
      </w:r>
      <w:r w:rsidR="00D80EA0" w:rsidRPr="00326148">
        <w:rPr>
          <w:rFonts w:ascii="Arial" w:hAnsi="Arial" w:cs="Arial"/>
          <w:sz w:val="20"/>
          <w:szCs w:val="20"/>
        </w:rPr>
        <w:t xml:space="preserve">– к </w:t>
      </w:r>
      <w:r w:rsidR="000351BE" w:rsidRPr="00326148">
        <w:rPr>
          <w:rFonts w:ascii="Arial" w:hAnsi="Arial" w:cs="Arial"/>
          <w:sz w:val="20"/>
          <w:szCs w:val="20"/>
        </w:rPr>
        <w:t xml:space="preserve"> 30 </w:t>
      </w:r>
      <w:r w:rsidR="00D80EA0" w:rsidRPr="00326148">
        <w:rPr>
          <w:rFonts w:ascii="Arial" w:hAnsi="Arial" w:cs="Arial"/>
          <w:sz w:val="20"/>
          <w:szCs w:val="20"/>
        </w:rPr>
        <w:t>%</w:t>
      </w:r>
      <w:r w:rsidR="000351BE" w:rsidRPr="00326148">
        <w:rPr>
          <w:rFonts w:ascii="Arial" w:hAnsi="Arial" w:cs="Arial"/>
          <w:sz w:val="20"/>
          <w:szCs w:val="20"/>
        </w:rPr>
        <w:t xml:space="preserve"> </w:t>
      </w:r>
      <w:r w:rsidR="006800E9" w:rsidRPr="00326148">
        <w:rPr>
          <w:rFonts w:ascii="Arial" w:hAnsi="Arial" w:cs="Arial"/>
          <w:sz w:val="20"/>
          <w:szCs w:val="20"/>
        </w:rPr>
        <w:t xml:space="preserve"> и более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="006A1F86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="006A1F86" w:rsidRPr="00326148">
        <w:rPr>
          <w:rFonts w:ascii="Arial" w:hAnsi="Arial" w:cs="Arial"/>
          <w:sz w:val="20"/>
          <w:szCs w:val="20"/>
        </w:rPr>
        <w:t>Для сравнения</w:t>
      </w:r>
      <w:r w:rsidR="00D80EA0" w:rsidRPr="00326148">
        <w:rPr>
          <w:rFonts w:ascii="Arial" w:hAnsi="Arial" w:cs="Arial"/>
          <w:sz w:val="20"/>
          <w:szCs w:val="20"/>
        </w:rPr>
        <w:t xml:space="preserve">, </w:t>
      </w:r>
      <w:r w:rsidR="00D166FA" w:rsidRPr="00326148">
        <w:rPr>
          <w:rFonts w:ascii="Arial" w:hAnsi="Arial" w:cs="Arial"/>
          <w:sz w:val="20"/>
          <w:szCs w:val="20"/>
        </w:rPr>
        <w:t>по данным на 2015 год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6A1F86" w:rsidRPr="00326148">
        <w:rPr>
          <w:rFonts w:ascii="Arial" w:hAnsi="Arial" w:cs="Arial"/>
          <w:sz w:val="20"/>
          <w:szCs w:val="20"/>
        </w:rPr>
        <w:t xml:space="preserve">эти показатели </w:t>
      </w:r>
      <w:r w:rsidR="004A2649" w:rsidRPr="00326148">
        <w:rPr>
          <w:rFonts w:ascii="Arial" w:hAnsi="Arial" w:cs="Arial"/>
          <w:sz w:val="20"/>
          <w:szCs w:val="20"/>
        </w:rPr>
        <w:t>(соответственно)</w:t>
      </w:r>
      <w:r w:rsidR="00D166FA" w:rsidRPr="00326148">
        <w:rPr>
          <w:rFonts w:ascii="Arial" w:hAnsi="Arial" w:cs="Arial"/>
          <w:sz w:val="20"/>
          <w:szCs w:val="20"/>
        </w:rPr>
        <w:t>: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D80EA0" w:rsidRPr="00326148">
        <w:rPr>
          <w:rFonts w:ascii="Arial" w:hAnsi="Arial" w:cs="Arial"/>
          <w:sz w:val="20"/>
          <w:szCs w:val="20"/>
        </w:rPr>
        <w:t>в Германии</w:t>
      </w:r>
      <w:r w:rsidR="00CA7882" w:rsidRPr="00326148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 w:rsidRPr="00326148">
        <w:rPr>
          <w:rFonts w:ascii="Arial" w:hAnsi="Arial" w:cs="Arial"/>
          <w:sz w:val="20"/>
          <w:szCs w:val="20"/>
        </w:rPr>
        <w:t>42,9</w:t>
      </w:r>
      <w:r w:rsidR="00CA7882" w:rsidRPr="00326148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 w:rsidRPr="00326148">
        <w:rPr>
          <w:rFonts w:ascii="Arial" w:hAnsi="Arial" w:cs="Arial"/>
          <w:sz w:val="20"/>
          <w:szCs w:val="20"/>
        </w:rPr>
        <w:t>4</w:t>
      </w:r>
      <w:r w:rsidR="00975559" w:rsidRPr="00326148">
        <w:rPr>
          <w:rFonts w:ascii="Arial" w:hAnsi="Arial" w:cs="Arial"/>
          <w:sz w:val="20"/>
          <w:szCs w:val="20"/>
        </w:rPr>
        <w:t>6,6</w:t>
      </w:r>
      <w:r w:rsidR="00363A9A" w:rsidRPr="00326148">
        <w:rPr>
          <w:rFonts w:ascii="Arial" w:hAnsi="Arial" w:cs="Arial"/>
          <w:sz w:val="20"/>
          <w:szCs w:val="20"/>
        </w:rPr>
        <w:t xml:space="preserve"> %,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363A9A" w:rsidRPr="00326148">
        <w:rPr>
          <w:rFonts w:ascii="Arial" w:hAnsi="Arial" w:cs="Arial"/>
          <w:sz w:val="20"/>
          <w:szCs w:val="20"/>
        </w:rPr>
        <w:t xml:space="preserve">Финляндии </w:t>
      </w:r>
      <w:r w:rsidR="00547D1B" w:rsidRPr="00326148">
        <w:rPr>
          <w:rFonts w:ascii="Arial" w:hAnsi="Arial" w:cs="Arial"/>
          <w:sz w:val="20"/>
          <w:szCs w:val="20"/>
        </w:rPr>
        <w:t>25,7 кв.м./чел. и 41,8</w:t>
      </w:r>
      <w:r w:rsidR="00D166FA" w:rsidRPr="00326148">
        <w:rPr>
          <w:rFonts w:ascii="Arial" w:hAnsi="Arial" w:cs="Arial"/>
          <w:sz w:val="20"/>
          <w:szCs w:val="20"/>
        </w:rPr>
        <w:t xml:space="preserve"> % (на 2000 г.),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DA6F82" w:rsidRPr="00326148">
        <w:rPr>
          <w:rFonts w:ascii="Arial" w:hAnsi="Arial" w:cs="Arial"/>
          <w:sz w:val="20"/>
          <w:szCs w:val="20"/>
        </w:rPr>
        <w:t>Швеци</w:t>
      </w:r>
      <w:r w:rsidR="004A2649" w:rsidRPr="00326148">
        <w:rPr>
          <w:rFonts w:ascii="Arial" w:hAnsi="Arial" w:cs="Arial"/>
          <w:sz w:val="20"/>
          <w:szCs w:val="20"/>
        </w:rPr>
        <w:t>и -</w:t>
      </w:r>
      <w:r w:rsidR="00DA6F82" w:rsidRPr="00326148">
        <w:rPr>
          <w:rFonts w:ascii="Arial" w:hAnsi="Arial" w:cs="Arial"/>
          <w:sz w:val="20"/>
          <w:szCs w:val="20"/>
        </w:rPr>
        <w:t xml:space="preserve">  </w:t>
      </w:r>
      <w:r w:rsidR="00D80EA0" w:rsidRPr="00326148">
        <w:rPr>
          <w:rFonts w:ascii="Arial" w:hAnsi="Arial" w:cs="Arial"/>
          <w:sz w:val="20"/>
          <w:szCs w:val="20"/>
        </w:rPr>
        <w:t>45,2 кв.м./чел</w:t>
      </w:r>
      <w:r w:rsidR="00DA6F82" w:rsidRPr="00326148">
        <w:rPr>
          <w:rFonts w:ascii="Arial" w:hAnsi="Arial" w:cs="Arial"/>
          <w:sz w:val="20"/>
          <w:szCs w:val="20"/>
        </w:rPr>
        <w:t xml:space="preserve"> </w:t>
      </w:r>
      <w:r w:rsidR="004A2649" w:rsidRPr="00326148">
        <w:rPr>
          <w:rFonts w:ascii="Arial" w:hAnsi="Arial" w:cs="Arial"/>
          <w:sz w:val="20"/>
          <w:szCs w:val="20"/>
        </w:rPr>
        <w:t xml:space="preserve">и </w:t>
      </w:r>
      <w:r w:rsidR="00D166FA" w:rsidRPr="00326148">
        <w:rPr>
          <w:rFonts w:ascii="Arial" w:hAnsi="Arial" w:cs="Arial"/>
          <w:sz w:val="20"/>
          <w:szCs w:val="20"/>
        </w:rPr>
        <w:t>30,4</w:t>
      </w:r>
      <w:r w:rsidR="00DA6F82" w:rsidRPr="00326148">
        <w:rPr>
          <w:rFonts w:ascii="Arial" w:hAnsi="Arial" w:cs="Arial"/>
          <w:sz w:val="20"/>
          <w:szCs w:val="20"/>
        </w:rPr>
        <w:t xml:space="preserve"> %</w:t>
      </w:r>
      <w:r w:rsidR="00D166FA" w:rsidRPr="00326148">
        <w:rPr>
          <w:rFonts w:ascii="Arial" w:hAnsi="Arial" w:cs="Arial"/>
          <w:sz w:val="20"/>
          <w:szCs w:val="20"/>
        </w:rPr>
        <w:t>, в Великобритани</w:t>
      </w:r>
      <w:r w:rsidR="006800E9" w:rsidRPr="00326148">
        <w:rPr>
          <w:rFonts w:ascii="Arial" w:hAnsi="Arial" w:cs="Arial"/>
          <w:sz w:val="20"/>
          <w:szCs w:val="20"/>
        </w:rPr>
        <w:t>и – 44 кв.м./чел. и 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D240BF" w:rsidRPr="00743E94" w:rsidRDefault="003F66AF" w:rsidP="00743E9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>Будет возрастать</w:t>
      </w:r>
      <w:r w:rsidR="005A4413" w:rsidRPr="00743E94">
        <w:rPr>
          <w:rFonts w:ascii="Arial" w:hAnsi="Arial" w:cs="Arial"/>
          <w:sz w:val="20"/>
          <w:szCs w:val="20"/>
        </w:rPr>
        <w:t xml:space="preserve"> </w:t>
      </w:r>
      <w:r w:rsidR="002E00CC" w:rsidRPr="00743E94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743E94">
        <w:rPr>
          <w:rFonts w:ascii="Arial" w:hAnsi="Arial" w:cs="Arial"/>
          <w:sz w:val="20"/>
          <w:szCs w:val="20"/>
        </w:rPr>
        <w:t>коммерческого назначения</w:t>
      </w:r>
      <w:r w:rsidRPr="00743E94">
        <w:rPr>
          <w:rFonts w:ascii="Arial" w:hAnsi="Arial" w:cs="Arial"/>
          <w:sz w:val="20"/>
          <w:szCs w:val="20"/>
        </w:rPr>
        <w:t xml:space="preserve">: </w:t>
      </w:r>
      <w:r w:rsidR="00743E94" w:rsidRPr="00743E94">
        <w:rPr>
          <w:rFonts w:ascii="Arial" w:hAnsi="Arial" w:cs="Arial"/>
          <w:sz w:val="20"/>
          <w:szCs w:val="20"/>
        </w:rPr>
        <w:t xml:space="preserve">в </w:t>
      </w:r>
      <w:r w:rsidRPr="00743E94">
        <w:rPr>
          <w:rFonts w:ascii="Arial" w:hAnsi="Arial" w:cs="Arial"/>
          <w:sz w:val="20"/>
          <w:szCs w:val="20"/>
        </w:rPr>
        <w:t>производственных, складских, офисных, торговых</w:t>
      </w:r>
      <w:r w:rsidR="005A4413" w:rsidRPr="00743E94">
        <w:rPr>
          <w:rFonts w:ascii="Arial" w:hAnsi="Arial" w:cs="Arial"/>
          <w:sz w:val="20"/>
          <w:szCs w:val="20"/>
        </w:rPr>
        <w:t xml:space="preserve"> </w:t>
      </w:r>
      <w:r w:rsidRPr="00743E94">
        <w:rPr>
          <w:rFonts w:ascii="Arial" w:hAnsi="Arial" w:cs="Arial"/>
          <w:sz w:val="20"/>
          <w:szCs w:val="20"/>
        </w:rPr>
        <w:t xml:space="preserve">объектах.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>коммерческих объектов 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 </w:t>
      </w:r>
      <w:hyperlink r:id="rId13" w:history="1">
        <w:proofErr w:type="gramStart"/>
        <w:r w:rsidR="005A4413" w:rsidRPr="00743E94">
          <w:rPr>
            <w:rStyle w:val="a4"/>
            <w:rFonts w:ascii="Arial" w:hAnsi="Arial" w:cs="Arial"/>
            <w:sz w:val="20"/>
            <w:szCs w:val="20"/>
          </w:rPr>
          <w:t>на конец</w:t>
        </w:r>
        <w:proofErr w:type="gramEnd"/>
        <w:r w:rsidR="005A4413" w:rsidRPr="00743E94">
          <w:rPr>
            <w:rStyle w:val="a4"/>
            <w:rFonts w:ascii="Arial" w:hAnsi="Arial" w:cs="Arial"/>
            <w:sz w:val="20"/>
            <w:szCs w:val="20"/>
          </w:rPr>
          <w:t xml:space="preserve"> 2010 года</w:t>
        </w:r>
      </w:hyperlink>
      <w:r w:rsidR="005A4413" w:rsidRPr="00743E94">
        <w:rPr>
          <w:rFonts w:ascii="Arial" w:hAnsi="Arial" w:cs="Arial"/>
          <w:sz w:val="20"/>
          <w:szCs w:val="20"/>
        </w:rPr>
        <w:t xml:space="preserve"> составила 29,1 %.</w:t>
      </w:r>
      <w:r w:rsidR="007024B7" w:rsidRPr="00743E94">
        <w:rPr>
          <w:rFonts w:ascii="Arial" w:hAnsi="Arial" w:cs="Arial"/>
          <w:sz w:val="20"/>
          <w:szCs w:val="20"/>
        </w:rPr>
        <w:t xml:space="preserve"> Полный реальный износ значительно выше.</w:t>
      </w:r>
      <w:r w:rsidR="00600392" w:rsidRPr="00743E94">
        <w:rPr>
          <w:rFonts w:ascii="Arial" w:hAnsi="Arial" w:cs="Arial"/>
          <w:sz w:val="20"/>
          <w:szCs w:val="20"/>
        </w:rPr>
        <w:t xml:space="preserve"> По мере дальнейшего роста экономики</w:t>
      </w:r>
      <w:r w:rsidR="00743E94" w:rsidRPr="00743E94">
        <w:rPr>
          <w:rFonts w:ascii="Arial" w:hAnsi="Arial" w:cs="Arial"/>
          <w:sz w:val="20"/>
          <w:szCs w:val="20"/>
        </w:rPr>
        <w:t xml:space="preserve"> восстановится спрос и на коммерческую недвижимость. </w:t>
      </w:r>
    </w:p>
    <w:p w:rsidR="00CA7882" w:rsidRDefault="00CA7882" w:rsidP="003F5F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F86" w:rsidRPr="006218A3" w:rsidRDefault="006A1F86" w:rsidP="006A1F8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6A1F86" w:rsidRP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Централ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ьный банк Российской Федерации </w:t>
      </w:r>
      <w:hyperlink r:id="rId14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6A1F86" w:rsidRPr="007347A7" w:rsidRDefault="00326148" w:rsidP="006A1F86">
      <w:pPr>
        <w:pStyle w:val="a3"/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hyperlink r:id="rId15" w:history="1"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</w:t>
        </w:r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r</w:t>
        </w:r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.ru/statistics/UDStat.aspx?TblID=302-01&amp;pid=sors&amp;sid=ITM_27910</w:t>
        </w:r>
      </w:hyperlink>
      <w:r w:rsidR="00BC39E3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>,</w:t>
      </w:r>
      <w:r w:rsidR="006A1F86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Федеральная слу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жба государственной статистики </w:t>
      </w:r>
      <w:hyperlink r:id="rId16" w:history="1">
        <w:r w:rsidRPr="006A1F8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6A1F86">
          <w:rPr>
            <w:rStyle w:val="a4"/>
            <w:rFonts w:ascii="Arial" w:hAnsi="Arial" w:cs="Arial"/>
            <w:sz w:val="20"/>
            <w:szCs w:val="20"/>
          </w:rPr>
          <w:t>.gks.ru</w:t>
        </w:r>
      </w:hyperlink>
      <w:r w:rsidR="00BC39E3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204906" w:rsidRPr="007024B7" w:rsidRDefault="00326148" w:rsidP="007024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7" w:history="1">
        <w:r w:rsidR="006A1F86" w:rsidRPr="006A1F86">
          <w:rPr>
            <w:rStyle w:val="a4"/>
            <w:rFonts w:ascii="Arial" w:hAnsi="Arial" w:cs="Arial"/>
            <w:sz w:val="20"/>
            <w:szCs w:val="20"/>
          </w:rPr>
          <w:t>http://ec.europa.eu/eurostat/data/database</w:t>
        </w:r>
      </w:hyperlink>
      <w:r w:rsidR="00BC39E3">
        <w:rPr>
          <w:rStyle w:val="a4"/>
          <w:rFonts w:ascii="Arial" w:hAnsi="Arial" w:cs="Arial"/>
          <w:sz w:val="20"/>
          <w:szCs w:val="20"/>
        </w:rPr>
        <w:t>.</w:t>
      </w: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 w:rsidR="00E14242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08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.0</w:t>
      </w:r>
      <w:r w:rsidR="00E14242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8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полностью</w:t>
      </w:r>
      <w:bookmarkStart w:id="0" w:name="_GoBack"/>
      <w:bookmarkEnd w:id="0"/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CA7882" w:rsidRP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18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. </w:t>
      </w:r>
    </w:p>
    <w:p w:rsidR="002C756A" w:rsidRDefault="002C756A" w:rsidP="00CA78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C756A" w:rsidRPr="00D240BF" w:rsidRDefault="002C756A" w:rsidP="006800E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2C756A" w:rsidRPr="00D240BF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13559"/>
    <w:rsid w:val="000141E7"/>
    <w:rsid w:val="00016735"/>
    <w:rsid w:val="00026385"/>
    <w:rsid w:val="000351BE"/>
    <w:rsid w:val="000366C6"/>
    <w:rsid w:val="000403A4"/>
    <w:rsid w:val="00040C4B"/>
    <w:rsid w:val="00047DF5"/>
    <w:rsid w:val="00053B35"/>
    <w:rsid w:val="00053CEB"/>
    <w:rsid w:val="00056BB8"/>
    <w:rsid w:val="00067A3B"/>
    <w:rsid w:val="00080BB3"/>
    <w:rsid w:val="0009013F"/>
    <w:rsid w:val="000911DA"/>
    <w:rsid w:val="00092E78"/>
    <w:rsid w:val="000B206B"/>
    <w:rsid w:val="000C2942"/>
    <w:rsid w:val="000C5DE8"/>
    <w:rsid w:val="000D1D84"/>
    <w:rsid w:val="000D22DA"/>
    <w:rsid w:val="000E0D02"/>
    <w:rsid w:val="000E5AD4"/>
    <w:rsid w:val="00100CF7"/>
    <w:rsid w:val="00104E36"/>
    <w:rsid w:val="001060BB"/>
    <w:rsid w:val="001104DC"/>
    <w:rsid w:val="00130051"/>
    <w:rsid w:val="001301A5"/>
    <w:rsid w:val="00140160"/>
    <w:rsid w:val="00140EA7"/>
    <w:rsid w:val="00152689"/>
    <w:rsid w:val="001544DF"/>
    <w:rsid w:val="00177CD7"/>
    <w:rsid w:val="0018419B"/>
    <w:rsid w:val="00191CD5"/>
    <w:rsid w:val="00194A92"/>
    <w:rsid w:val="001B6969"/>
    <w:rsid w:val="001B7090"/>
    <w:rsid w:val="001B7B54"/>
    <w:rsid w:val="001C4460"/>
    <w:rsid w:val="001C57AD"/>
    <w:rsid w:val="001D03C3"/>
    <w:rsid w:val="001F0C1B"/>
    <w:rsid w:val="001F29BD"/>
    <w:rsid w:val="001F539F"/>
    <w:rsid w:val="00204906"/>
    <w:rsid w:val="00205EE4"/>
    <w:rsid w:val="002123B8"/>
    <w:rsid w:val="00217061"/>
    <w:rsid w:val="00220BA3"/>
    <w:rsid w:val="00243176"/>
    <w:rsid w:val="002505FC"/>
    <w:rsid w:val="00252E12"/>
    <w:rsid w:val="00256DA7"/>
    <w:rsid w:val="0026024C"/>
    <w:rsid w:val="0027040A"/>
    <w:rsid w:val="00271F89"/>
    <w:rsid w:val="00293664"/>
    <w:rsid w:val="002A1D5D"/>
    <w:rsid w:val="002A6ABE"/>
    <w:rsid w:val="002B0A96"/>
    <w:rsid w:val="002B0CDD"/>
    <w:rsid w:val="002B277A"/>
    <w:rsid w:val="002C49DB"/>
    <w:rsid w:val="002C756A"/>
    <w:rsid w:val="002D02EC"/>
    <w:rsid w:val="002D2333"/>
    <w:rsid w:val="002D50C0"/>
    <w:rsid w:val="002E00CC"/>
    <w:rsid w:val="002F0729"/>
    <w:rsid w:val="002F6982"/>
    <w:rsid w:val="002F7B54"/>
    <w:rsid w:val="003009B5"/>
    <w:rsid w:val="00301A2F"/>
    <w:rsid w:val="003161B1"/>
    <w:rsid w:val="003221F6"/>
    <w:rsid w:val="0032535A"/>
    <w:rsid w:val="00326148"/>
    <w:rsid w:val="00333492"/>
    <w:rsid w:val="0033390A"/>
    <w:rsid w:val="00350A1F"/>
    <w:rsid w:val="00354B77"/>
    <w:rsid w:val="00363A9A"/>
    <w:rsid w:val="00372B0C"/>
    <w:rsid w:val="00385A44"/>
    <w:rsid w:val="003927FB"/>
    <w:rsid w:val="003A4F3A"/>
    <w:rsid w:val="003B1B79"/>
    <w:rsid w:val="003B4CC6"/>
    <w:rsid w:val="003C3A8E"/>
    <w:rsid w:val="003C3D67"/>
    <w:rsid w:val="003D5D10"/>
    <w:rsid w:val="003E0696"/>
    <w:rsid w:val="003E6BB7"/>
    <w:rsid w:val="003F0CA9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73580"/>
    <w:rsid w:val="00477995"/>
    <w:rsid w:val="00493687"/>
    <w:rsid w:val="004A01C7"/>
    <w:rsid w:val="004A2649"/>
    <w:rsid w:val="004B08BB"/>
    <w:rsid w:val="004B49DD"/>
    <w:rsid w:val="004B503F"/>
    <w:rsid w:val="004D2D2E"/>
    <w:rsid w:val="004D4E9B"/>
    <w:rsid w:val="004E4A1A"/>
    <w:rsid w:val="004E6AC8"/>
    <w:rsid w:val="0050744A"/>
    <w:rsid w:val="00530E7B"/>
    <w:rsid w:val="0053245F"/>
    <w:rsid w:val="00547D1B"/>
    <w:rsid w:val="00551784"/>
    <w:rsid w:val="0056407C"/>
    <w:rsid w:val="0057185E"/>
    <w:rsid w:val="005768D2"/>
    <w:rsid w:val="005828A4"/>
    <w:rsid w:val="00587468"/>
    <w:rsid w:val="005A05B7"/>
    <w:rsid w:val="005A4413"/>
    <w:rsid w:val="005B137A"/>
    <w:rsid w:val="005B2BF5"/>
    <w:rsid w:val="005B339E"/>
    <w:rsid w:val="005C403B"/>
    <w:rsid w:val="005C5233"/>
    <w:rsid w:val="005D14A7"/>
    <w:rsid w:val="005D500C"/>
    <w:rsid w:val="005D5B10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6832"/>
    <w:rsid w:val="00622B74"/>
    <w:rsid w:val="006238C0"/>
    <w:rsid w:val="00623C2E"/>
    <w:rsid w:val="0062685E"/>
    <w:rsid w:val="006428EF"/>
    <w:rsid w:val="00657CBD"/>
    <w:rsid w:val="0066087E"/>
    <w:rsid w:val="00660DE2"/>
    <w:rsid w:val="00661E8F"/>
    <w:rsid w:val="0066736E"/>
    <w:rsid w:val="006778FD"/>
    <w:rsid w:val="006800E9"/>
    <w:rsid w:val="00680879"/>
    <w:rsid w:val="00686BA8"/>
    <w:rsid w:val="00694278"/>
    <w:rsid w:val="006A1F86"/>
    <w:rsid w:val="006A2B00"/>
    <w:rsid w:val="006A4604"/>
    <w:rsid w:val="006B6D7E"/>
    <w:rsid w:val="006C0BD3"/>
    <w:rsid w:val="006D2E14"/>
    <w:rsid w:val="006D65E3"/>
    <w:rsid w:val="006F1B9B"/>
    <w:rsid w:val="007024B7"/>
    <w:rsid w:val="00705D49"/>
    <w:rsid w:val="00711D5D"/>
    <w:rsid w:val="007147F7"/>
    <w:rsid w:val="007157E3"/>
    <w:rsid w:val="007249E8"/>
    <w:rsid w:val="00741994"/>
    <w:rsid w:val="00743E94"/>
    <w:rsid w:val="00747960"/>
    <w:rsid w:val="00762631"/>
    <w:rsid w:val="00763826"/>
    <w:rsid w:val="00777D84"/>
    <w:rsid w:val="00791AA9"/>
    <w:rsid w:val="00791E08"/>
    <w:rsid w:val="00791FC4"/>
    <w:rsid w:val="00795907"/>
    <w:rsid w:val="0079696A"/>
    <w:rsid w:val="007A791F"/>
    <w:rsid w:val="007B0B29"/>
    <w:rsid w:val="007D31CE"/>
    <w:rsid w:val="007D55E6"/>
    <w:rsid w:val="007D7764"/>
    <w:rsid w:val="007E57BA"/>
    <w:rsid w:val="007E627D"/>
    <w:rsid w:val="007F2282"/>
    <w:rsid w:val="007F6A61"/>
    <w:rsid w:val="0080398A"/>
    <w:rsid w:val="00811B1C"/>
    <w:rsid w:val="00812E3E"/>
    <w:rsid w:val="0081789E"/>
    <w:rsid w:val="0082007C"/>
    <w:rsid w:val="00832695"/>
    <w:rsid w:val="00837C2A"/>
    <w:rsid w:val="008479A9"/>
    <w:rsid w:val="00850D8E"/>
    <w:rsid w:val="00855E39"/>
    <w:rsid w:val="00856290"/>
    <w:rsid w:val="0086358F"/>
    <w:rsid w:val="00866F4E"/>
    <w:rsid w:val="00867A60"/>
    <w:rsid w:val="008717C1"/>
    <w:rsid w:val="0088610B"/>
    <w:rsid w:val="00895AAD"/>
    <w:rsid w:val="008C1358"/>
    <w:rsid w:val="008D4026"/>
    <w:rsid w:val="008E15A9"/>
    <w:rsid w:val="008E1956"/>
    <w:rsid w:val="008E221D"/>
    <w:rsid w:val="008E3327"/>
    <w:rsid w:val="008E3628"/>
    <w:rsid w:val="008E7AB4"/>
    <w:rsid w:val="00902E4D"/>
    <w:rsid w:val="00903A0D"/>
    <w:rsid w:val="00905DB1"/>
    <w:rsid w:val="009111A3"/>
    <w:rsid w:val="009163A1"/>
    <w:rsid w:val="0092005A"/>
    <w:rsid w:val="00920C8F"/>
    <w:rsid w:val="0094358B"/>
    <w:rsid w:val="00943DC7"/>
    <w:rsid w:val="00947552"/>
    <w:rsid w:val="0096105C"/>
    <w:rsid w:val="009664C4"/>
    <w:rsid w:val="0096677E"/>
    <w:rsid w:val="0097405C"/>
    <w:rsid w:val="00975559"/>
    <w:rsid w:val="00976857"/>
    <w:rsid w:val="00981870"/>
    <w:rsid w:val="009855D4"/>
    <w:rsid w:val="00991AAF"/>
    <w:rsid w:val="00995004"/>
    <w:rsid w:val="009A1FEE"/>
    <w:rsid w:val="009A53DD"/>
    <w:rsid w:val="009A58A8"/>
    <w:rsid w:val="009B101E"/>
    <w:rsid w:val="009B2FF3"/>
    <w:rsid w:val="009B4459"/>
    <w:rsid w:val="009D0AC1"/>
    <w:rsid w:val="009D4B2A"/>
    <w:rsid w:val="009E065E"/>
    <w:rsid w:val="00A049BA"/>
    <w:rsid w:val="00A0543E"/>
    <w:rsid w:val="00A128BD"/>
    <w:rsid w:val="00A13644"/>
    <w:rsid w:val="00A270B1"/>
    <w:rsid w:val="00A40452"/>
    <w:rsid w:val="00A40A8B"/>
    <w:rsid w:val="00A509A3"/>
    <w:rsid w:val="00A51469"/>
    <w:rsid w:val="00A5354D"/>
    <w:rsid w:val="00A627D5"/>
    <w:rsid w:val="00A668C0"/>
    <w:rsid w:val="00A70341"/>
    <w:rsid w:val="00A74B16"/>
    <w:rsid w:val="00AA07FD"/>
    <w:rsid w:val="00AE4DCB"/>
    <w:rsid w:val="00AE726C"/>
    <w:rsid w:val="00AF4B66"/>
    <w:rsid w:val="00B1351F"/>
    <w:rsid w:val="00B23B76"/>
    <w:rsid w:val="00B2604A"/>
    <w:rsid w:val="00B30D36"/>
    <w:rsid w:val="00B30F7A"/>
    <w:rsid w:val="00B33678"/>
    <w:rsid w:val="00B400FD"/>
    <w:rsid w:val="00B418DE"/>
    <w:rsid w:val="00B5042C"/>
    <w:rsid w:val="00B53CCD"/>
    <w:rsid w:val="00B56958"/>
    <w:rsid w:val="00B71623"/>
    <w:rsid w:val="00B74479"/>
    <w:rsid w:val="00B76BCE"/>
    <w:rsid w:val="00B96E5B"/>
    <w:rsid w:val="00BB75F7"/>
    <w:rsid w:val="00BC2C15"/>
    <w:rsid w:val="00BC39E3"/>
    <w:rsid w:val="00BC4AD6"/>
    <w:rsid w:val="00BC5B52"/>
    <w:rsid w:val="00BD222F"/>
    <w:rsid w:val="00BD7271"/>
    <w:rsid w:val="00BE4AC3"/>
    <w:rsid w:val="00BF0AD0"/>
    <w:rsid w:val="00BF407D"/>
    <w:rsid w:val="00BF72CD"/>
    <w:rsid w:val="00BF74E3"/>
    <w:rsid w:val="00C031A8"/>
    <w:rsid w:val="00C06544"/>
    <w:rsid w:val="00C1113D"/>
    <w:rsid w:val="00C1122E"/>
    <w:rsid w:val="00C152D4"/>
    <w:rsid w:val="00C174BC"/>
    <w:rsid w:val="00C2413A"/>
    <w:rsid w:val="00C351A8"/>
    <w:rsid w:val="00C370ED"/>
    <w:rsid w:val="00C3783A"/>
    <w:rsid w:val="00C505B9"/>
    <w:rsid w:val="00C740F5"/>
    <w:rsid w:val="00C7506D"/>
    <w:rsid w:val="00C75547"/>
    <w:rsid w:val="00C82E76"/>
    <w:rsid w:val="00C9696B"/>
    <w:rsid w:val="00CA7882"/>
    <w:rsid w:val="00CB4096"/>
    <w:rsid w:val="00CB4639"/>
    <w:rsid w:val="00CC38B7"/>
    <w:rsid w:val="00CD578C"/>
    <w:rsid w:val="00CD6630"/>
    <w:rsid w:val="00CD7BC4"/>
    <w:rsid w:val="00CE3E8F"/>
    <w:rsid w:val="00CE788E"/>
    <w:rsid w:val="00D03C81"/>
    <w:rsid w:val="00D166FA"/>
    <w:rsid w:val="00D22060"/>
    <w:rsid w:val="00D240BF"/>
    <w:rsid w:val="00D329E6"/>
    <w:rsid w:val="00D40FA8"/>
    <w:rsid w:val="00D44183"/>
    <w:rsid w:val="00D44A90"/>
    <w:rsid w:val="00D5148E"/>
    <w:rsid w:val="00D523CF"/>
    <w:rsid w:val="00D55BBF"/>
    <w:rsid w:val="00D564A2"/>
    <w:rsid w:val="00D70DE6"/>
    <w:rsid w:val="00D72A0A"/>
    <w:rsid w:val="00D80EA0"/>
    <w:rsid w:val="00D9109C"/>
    <w:rsid w:val="00D9633A"/>
    <w:rsid w:val="00DA29F9"/>
    <w:rsid w:val="00DA6F82"/>
    <w:rsid w:val="00DC7BB1"/>
    <w:rsid w:val="00DC7D2C"/>
    <w:rsid w:val="00DE2E27"/>
    <w:rsid w:val="00DE3D00"/>
    <w:rsid w:val="00DE6491"/>
    <w:rsid w:val="00E039EC"/>
    <w:rsid w:val="00E14242"/>
    <w:rsid w:val="00E27A5A"/>
    <w:rsid w:val="00E40778"/>
    <w:rsid w:val="00E467E0"/>
    <w:rsid w:val="00E50EEB"/>
    <w:rsid w:val="00E63FCF"/>
    <w:rsid w:val="00E75ED1"/>
    <w:rsid w:val="00E86AB3"/>
    <w:rsid w:val="00E95E4F"/>
    <w:rsid w:val="00EA7668"/>
    <w:rsid w:val="00EB19E6"/>
    <w:rsid w:val="00EB2586"/>
    <w:rsid w:val="00EB4D84"/>
    <w:rsid w:val="00EB6AF4"/>
    <w:rsid w:val="00EC1F58"/>
    <w:rsid w:val="00ED2405"/>
    <w:rsid w:val="00ED6168"/>
    <w:rsid w:val="00EE198B"/>
    <w:rsid w:val="00EE1F0B"/>
    <w:rsid w:val="00EE5E90"/>
    <w:rsid w:val="00EF490C"/>
    <w:rsid w:val="00EF6830"/>
    <w:rsid w:val="00F00833"/>
    <w:rsid w:val="00F21CCD"/>
    <w:rsid w:val="00F4662E"/>
    <w:rsid w:val="00F81349"/>
    <w:rsid w:val="00F82451"/>
    <w:rsid w:val="00F8606B"/>
    <w:rsid w:val="00F87CD6"/>
    <w:rsid w:val="00F951C0"/>
    <w:rsid w:val="00F95580"/>
    <w:rsid w:val="00FA0F43"/>
    <w:rsid w:val="00FA4E29"/>
    <w:rsid w:val="00FC09C3"/>
    <w:rsid w:val="00FD3665"/>
    <w:rsid w:val="00FD4338"/>
    <w:rsid w:val="00FD4FE1"/>
    <w:rsid w:val="00FD60B3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programs/" TargetMode="External"/><Relationship Id="rId13" Type="http://schemas.openxmlformats.org/officeDocument/2006/relationships/hyperlink" Target="http://www.gks.ru/bgd/regl/b11_04/isswww.exe/stg/d10/01-00.htm" TargetMode="External"/><Relationship Id="rId18" Type="http://schemas.openxmlformats.org/officeDocument/2006/relationships/hyperlink" Target="mailto:statrielt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viewer.yandex.ru/view/373140133/?*=d0Bxx%2BfMeBM%2BIoQaCL50rw3ehjV7InVybCI6Imh0dHA6Ly93d3cuZ2tzLnJ1L2ZyZWVfZG9jL2RvY18yMDE2L2ppbC1ob3oxNi5wZGYiLCJ0aXRsZSI6ImppbC1ob3oxNi5wZGYiLCJ1aWQiOiIzNzMxNDAxMzMiLCJ5dSI6IjM3NTg3MzcwNzE0ODM3MTg0ODgiLCJub2lmcmFtZSI6dHJ1ZSwidHMiOjE0OTQzMDc0OTY1NzF9&amp;page=11&amp;lang=ru" TargetMode="External"/><Relationship Id="rId17" Type="http://schemas.openxmlformats.org/officeDocument/2006/relationships/hyperlink" Target="http://ec.europa.eu/eurostat/data/databa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programs/213/even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/statistics/UDStat.aspx?TblID=302-01&amp;pid=sors&amp;sid=ITM_27910" TargetMode="External"/><Relationship Id="rId10" Type="http://schemas.openxmlformats.org/officeDocument/2006/relationships/hyperlink" Target="http://government.ru/docs/335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programs/" TargetMode="Externa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52D7-E148-40A0-A738-D3707D8B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Netbook</cp:lastModifiedBy>
  <cp:revision>19</cp:revision>
  <dcterms:created xsi:type="dcterms:W3CDTF">2017-08-07T08:48:00Z</dcterms:created>
  <dcterms:modified xsi:type="dcterms:W3CDTF">2017-08-08T06:10:00Z</dcterms:modified>
</cp:coreProperties>
</file>