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F407D" w:rsidRPr="00100CF7" w:rsidRDefault="00417EEA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FE4D5B">
        <w:rPr>
          <w:rFonts w:ascii="Arial" w:hAnsi="Arial" w:cs="Arial"/>
          <w:sz w:val="20"/>
          <w:szCs w:val="20"/>
        </w:rPr>
        <w:t>Рынок недвижимости</w:t>
      </w:r>
      <w:r w:rsidR="007147F7" w:rsidRPr="00FE4D5B">
        <w:rPr>
          <w:rFonts w:ascii="Arial" w:hAnsi="Arial" w:cs="Arial"/>
          <w:sz w:val="20"/>
          <w:szCs w:val="20"/>
        </w:rPr>
        <w:t xml:space="preserve">, как </w:t>
      </w:r>
      <w:r w:rsidRPr="00FE4D5B">
        <w:rPr>
          <w:rFonts w:ascii="Arial" w:hAnsi="Arial" w:cs="Arial"/>
          <w:sz w:val="20"/>
          <w:szCs w:val="20"/>
        </w:rPr>
        <w:t>сфера торговли объектами недвижимости</w:t>
      </w:r>
      <w:r w:rsidR="00BF0AD0">
        <w:rPr>
          <w:rFonts w:ascii="Arial" w:hAnsi="Arial" w:cs="Arial"/>
          <w:sz w:val="20"/>
          <w:szCs w:val="20"/>
        </w:rPr>
        <w:t>,</w:t>
      </w:r>
      <w:r w:rsidR="007147F7" w:rsidRPr="00FE4D5B">
        <w:rPr>
          <w:rFonts w:ascii="Arial" w:hAnsi="Arial" w:cs="Arial"/>
          <w:sz w:val="20"/>
          <w:szCs w:val="20"/>
        </w:rPr>
        <w:t xml:space="preserve"> формируется и </w:t>
      </w:r>
      <w:r w:rsidR="007147F7" w:rsidRPr="00100CF7">
        <w:rPr>
          <w:rFonts w:ascii="Arial" w:hAnsi="Arial" w:cs="Arial"/>
          <w:sz w:val="20"/>
          <w:szCs w:val="20"/>
        </w:rPr>
        <w:t xml:space="preserve">определяется региональными условиями, </w:t>
      </w:r>
      <w:r w:rsidR="000D22DA">
        <w:rPr>
          <w:rFonts w:ascii="Arial" w:hAnsi="Arial" w:cs="Arial"/>
          <w:sz w:val="20"/>
          <w:szCs w:val="20"/>
        </w:rPr>
        <w:t>поскольку</w:t>
      </w:r>
      <w:r w:rsidR="007147F7" w:rsidRPr="00100CF7">
        <w:rPr>
          <w:rFonts w:ascii="Arial" w:hAnsi="Arial" w:cs="Arial"/>
          <w:sz w:val="20"/>
          <w:szCs w:val="20"/>
        </w:rPr>
        <w:t xml:space="preserve"> недвижимость</w:t>
      </w:r>
      <w:r w:rsidRPr="00100CF7">
        <w:rPr>
          <w:rFonts w:ascii="Arial" w:hAnsi="Arial" w:cs="Arial"/>
          <w:sz w:val="20"/>
          <w:szCs w:val="20"/>
        </w:rPr>
        <w:t>, по определению, привязана к земельному участку</w:t>
      </w:r>
      <w:r w:rsidR="007147F7" w:rsidRPr="00100CF7">
        <w:rPr>
          <w:rFonts w:ascii="Arial" w:hAnsi="Arial" w:cs="Arial"/>
          <w:sz w:val="20"/>
          <w:szCs w:val="20"/>
        </w:rPr>
        <w:t xml:space="preserve">, к местности, к региональным общественно-экономическим условиям. </w:t>
      </w:r>
      <w:r w:rsidR="0057185E" w:rsidRPr="00100CF7">
        <w:rPr>
          <w:rFonts w:ascii="Arial" w:hAnsi="Arial" w:cs="Arial"/>
          <w:sz w:val="20"/>
          <w:szCs w:val="20"/>
        </w:rPr>
        <w:t xml:space="preserve">Однако, на «жизни» и перспективе рынка недвижимости отражаются не только региональные условия </w:t>
      </w:r>
      <w:r w:rsidR="00F95580" w:rsidRPr="00100CF7">
        <w:rPr>
          <w:rFonts w:ascii="Arial" w:hAnsi="Arial" w:cs="Arial"/>
          <w:sz w:val="20"/>
          <w:szCs w:val="20"/>
        </w:rPr>
        <w:t xml:space="preserve">и особенности </w:t>
      </w:r>
      <w:r w:rsidR="0057185E" w:rsidRPr="00100CF7">
        <w:rPr>
          <w:rFonts w:ascii="Arial" w:hAnsi="Arial" w:cs="Arial"/>
          <w:sz w:val="20"/>
          <w:szCs w:val="20"/>
        </w:rPr>
        <w:t xml:space="preserve">(географические, природные, экологические, национальные, демографические, политические, экономические), но и </w:t>
      </w:r>
      <w:r w:rsidR="007147F7" w:rsidRPr="00100CF7">
        <w:rPr>
          <w:rFonts w:ascii="Arial" w:hAnsi="Arial" w:cs="Arial"/>
          <w:sz w:val="20"/>
          <w:szCs w:val="20"/>
        </w:rPr>
        <w:t>политическая система</w:t>
      </w:r>
      <w:r w:rsidR="00BF407D" w:rsidRPr="00100CF7">
        <w:rPr>
          <w:rFonts w:ascii="Arial" w:hAnsi="Arial" w:cs="Arial"/>
          <w:sz w:val="20"/>
          <w:szCs w:val="20"/>
        </w:rPr>
        <w:t xml:space="preserve"> страны</w:t>
      </w:r>
      <w:r w:rsidR="00F95580" w:rsidRPr="00100CF7">
        <w:rPr>
          <w:rFonts w:ascii="Arial" w:hAnsi="Arial" w:cs="Arial"/>
          <w:sz w:val="20"/>
          <w:szCs w:val="20"/>
        </w:rPr>
        <w:t>,</w:t>
      </w:r>
      <w:r w:rsidR="00430E8D" w:rsidRPr="00100CF7">
        <w:rPr>
          <w:rFonts w:ascii="Arial" w:hAnsi="Arial" w:cs="Arial"/>
          <w:sz w:val="20"/>
          <w:szCs w:val="20"/>
        </w:rPr>
        <w:t xml:space="preserve"> законодательство, социальные и экономические отношения, </w:t>
      </w:r>
      <w:r w:rsidR="005A05B7" w:rsidRPr="00100CF7">
        <w:rPr>
          <w:rFonts w:ascii="Arial" w:hAnsi="Arial" w:cs="Arial"/>
          <w:sz w:val="20"/>
          <w:szCs w:val="20"/>
        </w:rPr>
        <w:t>образую</w:t>
      </w:r>
      <w:r w:rsidR="00F95580" w:rsidRPr="00100CF7">
        <w:rPr>
          <w:rFonts w:ascii="Arial" w:hAnsi="Arial" w:cs="Arial"/>
          <w:sz w:val="20"/>
          <w:szCs w:val="20"/>
        </w:rPr>
        <w:t>щие</w:t>
      </w:r>
      <w:r w:rsidR="005A05B7" w:rsidRPr="00100CF7">
        <w:rPr>
          <w:rFonts w:ascii="Arial" w:hAnsi="Arial" w:cs="Arial"/>
          <w:sz w:val="20"/>
          <w:szCs w:val="20"/>
        </w:rPr>
        <w:t xml:space="preserve"> сложную систему отношений</w:t>
      </w:r>
      <w:r w:rsidR="00F95580" w:rsidRPr="00100CF7">
        <w:rPr>
          <w:rFonts w:ascii="Arial" w:hAnsi="Arial" w:cs="Arial"/>
          <w:sz w:val="20"/>
          <w:szCs w:val="20"/>
        </w:rPr>
        <w:t xml:space="preserve"> и </w:t>
      </w:r>
      <w:r w:rsidR="005A05B7" w:rsidRPr="00100CF7">
        <w:rPr>
          <w:rFonts w:ascii="Arial" w:hAnsi="Arial" w:cs="Arial"/>
          <w:sz w:val="20"/>
          <w:szCs w:val="20"/>
        </w:rPr>
        <w:t>определяющи</w:t>
      </w:r>
      <w:r w:rsidR="00F95580" w:rsidRPr="00100CF7">
        <w:rPr>
          <w:rFonts w:ascii="Arial" w:hAnsi="Arial" w:cs="Arial"/>
          <w:sz w:val="20"/>
          <w:szCs w:val="20"/>
        </w:rPr>
        <w:t>е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4539BF" w:rsidRPr="00100CF7">
        <w:rPr>
          <w:rFonts w:ascii="Arial" w:hAnsi="Arial" w:cs="Arial"/>
          <w:sz w:val="20"/>
          <w:szCs w:val="20"/>
        </w:rPr>
        <w:t>состояние экономики</w:t>
      </w:r>
      <w:r w:rsidR="005A05B7" w:rsidRPr="00100CF7">
        <w:rPr>
          <w:rFonts w:ascii="Arial" w:hAnsi="Arial" w:cs="Arial"/>
          <w:sz w:val="20"/>
          <w:szCs w:val="20"/>
        </w:rPr>
        <w:t xml:space="preserve"> и </w:t>
      </w:r>
      <w:r w:rsidR="00FE4D5B" w:rsidRPr="00100CF7">
        <w:rPr>
          <w:rFonts w:ascii="Arial" w:hAnsi="Arial" w:cs="Arial"/>
          <w:sz w:val="20"/>
          <w:szCs w:val="20"/>
        </w:rPr>
        <w:t xml:space="preserve">перспективы </w:t>
      </w:r>
      <w:r w:rsidR="005A05B7" w:rsidRPr="00100CF7">
        <w:rPr>
          <w:rFonts w:ascii="Arial" w:hAnsi="Arial" w:cs="Arial"/>
          <w:sz w:val="20"/>
          <w:szCs w:val="20"/>
        </w:rPr>
        <w:t>развити</w:t>
      </w:r>
      <w:r w:rsidR="00FE4D5B" w:rsidRPr="00100CF7">
        <w:rPr>
          <w:rFonts w:ascii="Arial" w:hAnsi="Arial" w:cs="Arial"/>
          <w:sz w:val="20"/>
          <w:szCs w:val="20"/>
        </w:rPr>
        <w:t>я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FE4D5B" w:rsidRPr="00100CF7">
        <w:rPr>
          <w:rFonts w:ascii="Arial" w:hAnsi="Arial" w:cs="Arial"/>
          <w:sz w:val="20"/>
          <w:szCs w:val="20"/>
        </w:rPr>
        <w:t>страны</w:t>
      </w:r>
      <w:r w:rsidR="00F95580" w:rsidRPr="00100CF7">
        <w:rPr>
          <w:rFonts w:ascii="Arial" w:hAnsi="Arial" w:cs="Arial"/>
          <w:sz w:val="20"/>
          <w:szCs w:val="20"/>
        </w:rPr>
        <w:t xml:space="preserve"> в целом</w:t>
      </w:r>
      <w:r w:rsidR="0057185E" w:rsidRPr="00100CF7">
        <w:rPr>
          <w:rFonts w:ascii="Arial" w:hAnsi="Arial" w:cs="Arial"/>
          <w:sz w:val="20"/>
          <w:szCs w:val="20"/>
        </w:rPr>
        <w:t>.</w:t>
      </w:r>
      <w:r w:rsidR="00F95580" w:rsidRPr="00100CF7">
        <w:rPr>
          <w:rFonts w:ascii="Arial" w:hAnsi="Arial" w:cs="Arial"/>
          <w:sz w:val="20"/>
          <w:szCs w:val="20"/>
        </w:rPr>
        <w:t xml:space="preserve"> </w:t>
      </w:r>
    </w:p>
    <w:p w:rsidR="00BF74E3" w:rsidRDefault="00BF407D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100CF7">
        <w:rPr>
          <w:rFonts w:ascii="Arial" w:hAnsi="Arial" w:cs="Arial"/>
          <w:sz w:val="20"/>
          <w:szCs w:val="20"/>
        </w:rPr>
        <w:t>В свою очередь, экономическое развитие страны напрямую зависит от внешнеэкономических и политических условий и связей, от мировой конъюнктуры</w:t>
      </w:r>
      <w:r w:rsidR="00976857">
        <w:rPr>
          <w:rFonts w:ascii="Arial" w:hAnsi="Arial" w:cs="Arial"/>
          <w:sz w:val="20"/>
          <w:szCs w:val="20"/>
        </w:rPr>
        <w:t xml:space="preserve"> и конкуренции</w:t>
      </w:r>
      <w:r w:rsidRPr="00100CF7">
        <w:rPr>
          <w:rFonts w:ascii="Arial" w:hAnsi="Arial" w:cs="Arial"/>
          <w:sz w:val="20"/>
          <w:szCs w:val="20"/>
        </w:rPr>
        <w:t xml:space="preserve">. </w:t>
      </w:r>
      <w:r w:rsidR="00E039EC" w:rsidRPr="00100CF7">
        <w:rPr>
          <w:rFonts w:ascii="Arial" w:hAnsi="Arial" w:cs="Arial"/>
          <w:sz w:val="20"/>
          <w:szCs w:val="20"/>
        </w:rPr>
        <w:t xml:space="preserve">Развитие транспортных </w:t>
      </w:r>
      <w:r w:rsidR="00976857">
        <w:rPr>
          <w:rFonts w:ascii="Arial" w:hAnsi="Arial" w:cs="Arial"/>
          <w:sz w:val="20"/>
          <w:szCs w:val="20"/>
        </w:rPr>
        <w:t xml:space="preserve">сетей и информационных технологий и систем </w:t>
      </w:r>
      <w:r w:rsidR="00E039EC" w:rsidRPr="00100CF7">
        <w:rPr>
          <w:rFonts w:ascii="Arial" w:hAnsi="Arial" w:cs="Arial"/>
          <w:sz w:val="20"/>
          <w:szCs w:val="20"/>
        </w:rPr>
        <w:t>соединя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>т друг с другом самые отдалённые уголки планеты, связыва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 xml:space="preserve">т </w:t>
      </w:r>
      <w:proofErr w:type="gramStart"/>
      <w:r w:rsidR="00E039EC" w:rsidRPr="00100CF7">
        <w:rPr>
          <w:rFonts w:ascii="Arial" w:hAnsi="Arial" w:cs="Arial"/>
          <w:sz w:val="20"/>
          <w:szCs w:val="20"/>
        </w:rPr>
        <w:t>торгово-экономически</w:t>
      </w:r>
      <w:proofErr w:type="gramEnd"/>
      <w:r w:rsidR="00E039EC" w:rsidRPr="00100CF7">
        <w:rPr>
          <w:rFonts w:ascii="Arial" w:hAnsi="Arial" w:cs="Arial"/>
          <w:sz w:val="20"/>
          <w:szCs w:val="20"/>
        </w:rPr>
        <w:t xml:space="preserve"> и политически страны с разными укладами и традициями, с разными экономическими отношениями</w:t>
      </w:r>
      <w:r w:rsidR="00473580" w:rsidRPr="00100CF7">
        <w:rPr>
          <w:rFonts w:ascii="Arial" w:hAnsi="Arial" w:cs="Arial"/>
          <w:sz w:val="20"/>
          <w:szCs w:val="20"/>
        </w:rPr>
        <w:t xml:space="preserve">, тем самым </w:t>
      </w:r>
      <w:r w:rsidR="0086358F">
        <w:rPr>
          <w:rFonts w:ascii="Arial" w:hAnsi="Arial" w:cs="Arial"/>
          <w:sz w:val="20"/>
          <w:szCs w:val="20"/>
        </w:rPr>
        <w:t>объединяя и связывая</w:t>
      </w:r>
      <w:r w:rsidR="00473580" w:rsidRPr="00100CF7">
        <w:rPr>
          <w:rFonts w:ascii="Arial" w:hAnsi="Arial" w:cs="Arial"/>
          <w:sz w:val="20"/>
          <w:szCs w:val="20"/>
        </w:rPr>
        <w:t xml:space="preserve"> мир</w:t>
      </w:r>
      <w:r w:rsidR="00E039EC" w:rsidRPr="00100CF7">
        <w:rPr>
          <w:rFonts w:ascii="Arial" w:hAnsi="Arial" w:cs="Arial"/>
          <w:sz w:val="20"/>
          <w:szCs w:val="20"/>
        </w:rPr>
        <w:t>. Поэтому все страны</w:t>
      </w:r>
      <w:r w:rsidR="0086358F">
        <w:rPr>
          <w:rFonts w:ascii="Arial" w:hAnsi="Arial" w:cs="Arial"/>
          <w:sz w:val="20"/>
          <w:szCs w:val="20"/>
        </w:rPr>
        <w:t>,</w:t>
      </w:r>
      <w:r w:rsidR="00E039EC" w:rsidRPr="00100CF7">
        <w:rPr>
          <w:rFonts w:ascii="Arial" w:hAnsi="Arial" w:cs="Arial"/>
          <w:sz w:val="20"/>
          <w:szCs w:val="20"/>
        </w:rPr>
        <w:t xml:space="preserve"> </w:t>
      </w:r>
      <w:r w:rsidR="00473580" w:rsidRPr="00100CF7">
        <w:rPr>
          <w:rFonts w:ascii="Arial" w:hAnsi="Arial" w:cs="Arial"/>
          <w:sz w:val="20"/>
          <w:szCs w:val="20"/>
        </w:rPr>
        <w:t>всё более</w:t>
      </w:r>
      <w:r w:rsidR="0086358F">
        <w:rPr>
          <w:rFonts w:ascii="Arial" w:hAnsi="Arial" w:cs="Arial"/>
          <w:sz w:val="20"/>
          <w:szCs w:val="20"/>
        </w:rPr>
        <w:t>,</w:t>
      </w:r>
      <w:r w:rsidR="00473580" w:rsidRPr="00100CF7">
        <w:rPr>
          <w:rFonts w:ascii="Arial" w:hAnsi="Arial" w:cs="Arial"/>
          <w:sz w:val="20"/>
          <w:szCs w:val="20"/>
        </w:rPr>
        <w:t xml:space="preserve"> </w:t>
      </w:r>
      <w:r w:rsidR="00E039EC" w:rsidRPr="00100CF7">
        <w:rPr>
          <w:rFonts w:ascii="Arial" w:hAnsi="Arial" w:cs="Arial"/>
          <w:sz w:val="20"/>
          <w:szCs w:val="20"/>
        </w:rPr>
        <w:t>взаимно влияют</w:t>
      </w:r>
      <w:r w:rsidRPr="00100CF7">
        <w:rPr>
          <w:rFonts w:ascii="Arial" w:hAnsi="Arial" w:cs="Arial"/>
          <w:sz w:val="20"/>
          <w:szCs w:val="20"/>
        </w:rPr>
        <w:t>,</w:t>
      </w:r>
      <w:r w:rsidR="00E039EC" w:rsidRPr="00100CF7">
        <w:rPr>
          <w:rFonts w:ascii="Arial" w:hAnsi="Arial" w:cs="Arial"/>
          <w:sz w:val="20"/>
          <w:szCs w:val="20"/>
        </w:rPr>
        <w:t xml:space="preserve"> взаимодействуют</w:t>
      </w:r>
      <w:r w:rsidR="00473580" w:rsidRPr="00100CF7">
        <w:rPr>
          <w:rFonts w:ascii="Arial" w:hAnsi="Arial" w:cs="Arial"/>
          <w:sz w:val="20"/>
          <w:szCs w:val="20"/>
        </w:rPr>
        <w:t xml:space="preserve"> друг с другом</w:t>
      </w:r>
      <w:r w:rsidR="0086358F">
        <w:rPr>
          <w:rFonts w:ascii="Arial" w:hAnsi="Arial" w:cs="Arial"/>
          <w:sz w:val="20"/>
          <w:szCs w:val="20"/>
        </w:rPr>
        <w:t xml:space="preserve"> экономически и политически</w:t>
      </w:r>
      <w:r w:rsidR="00E039EC" w:rsidRPr="00100CF7">
        <w:rPr>
          <w:rFonts w:ascii="Arial" w:hAnsi="Arial" w:cs="Arial"/>
          <w:sz w:val="20"/>
          <w:szCs w:val="20"/>
        </w:rPr>
        <w:t xml:space="preserve">. </w:t>
      </w:r>
      <w:r w:rsidR="00976857">
        <w:rPr>
          <w:rFonts w:ascii="Arial" w:hAnsi="Arial" w:cs="Arial"/>
          <w:sz w:val="20"/>
          <w:szCs w:val="20"/>
        </w:rPr>
        <w:t xml:space="preserve">Мировая </w:t>
      </w:r>
      <w:r w:rsidR="00A509A3">
        <w:rPr>
          <w:rFonts w:ascii="Arial" w:hAnsi="Arial" w:cs="Arial"/>
          <w:sz w:val="20"/>
          <w:szCs w:val="20"/>
        </w:rPr>
        <w:t>конкуренция в</w:t>
      </w:r>
      <w:r w:rsidR="00BF74E3" w:rsidRPr="00100CF7">
        <w:rPr>
          <w:rFonts w:ascii="Arial" w:hAnsi="Arial" w:cs="Arial"/>
          <w:sz w:val="20"/>
          <w:szCs w:val="20"/>
        </w:rPr>
        <w:t xml:space="preserve"> условиях ограниченности </w:t>
      </w:r>
      <w:r w:rsidR="00BF74E3">
        <w:rPr>
          <w:rFonts w:ascii="Arial" w:hAnsi="Arial" w:cs="Arial"/>
          <w:sz w:val="20"/>
          <w:szCs w:val="20"/>
        </w:rPr>
        <w:t xml:space="preserve">территорий и природных ресурсов </w:t>
      </w:r>
      <w:r w:rsidR="00A509A3">
        <w:rPr>
          <w:rFonts w:ascii="Arial" w:hAnsi="Arial" w:cs="Arial"/>
          <w:sz w:val="20"/>
          <w:szCs w:val="20"/>
        </w:rPr>
        <w:t>порожд</w:t>
      </w:r>
      <w:r w:rsidR="00BF74E3">
        <w:rPr>
          <w:rFonts w:ascii="Arial" w:hAnsi="Arial" w:cs="Arial"/>
          <w:sz w:val="20"/>
          <w:szCs w:val="20"/>
        </w:rPr>
        <w:t xml:space="preserve">ают международные противоречия и конфликты. </w:t>
      </w:r>
      <w:r w:rsidR="00473580">
        <w:rPr>
          <w:rFonts w:ascii="Arial" w:hAnsi="Arial" w:cs="Arial"/>
          <w:sz w:val="20"/>
          <w:szCs w:val="20"/>
        </w:rPr>
        <w:t>Особо это отражается в</w:t>
      </w:r>
      <w:r w:rsidR="00BF74E3">
        <w:rPr>
          <w:rFonts w:ascii="Arial" w:hAnsi="Arial" w:cs="Arial"/>
          <w:sz w:val="20"/>
          <w:szCs w:val="20"/>
        </w:rPr>
        <w:t xml:space="preserve">о взаимоотношениях между </w:t>
      </w:r>
      <w:proofErr w:type="gramStart"/>
      <w:r w:rsidR="00BF74E3">
        <w:rPr>
          <w:rFonts w:ascii="Arial" w:hAnsi="Arial" w:cs="Arial"/>
          <w:sz w:val="20"/>
          <w:szCs w:val="20"/>
        </w:rPr>
        <w:t>военно-</w:t>
      </w:r>
      <w:r w:rsidR="00473580">
        <w:rPr>
          <w:rFonts w:ascii="Arial" w:hAnsi="Arial" w:cs="Arial"/>
          <w:sz w:val="20"/>
          <w:szCs w:val="20"/>
        </w:rPr>
        <w:t>экономически</w:t>
      </w:r>
      <w:proofErr w:type="gramEnd"/>
      <w:r w:rsidR="00473580">
        <w:rPr>
          <w:rFonts w:ascii="Arial" w:hAnsi="Arial" w:cs="Arial"/>
          <w:sz w:val="20"/>
          <w:szCs w:val="20"/>
        </w:rPr>
        <w:t xml:space="preserve"> сильными странами и странами, где государства слабые, а национальн</w:t>
      </w:r>
      <w:r w:rsidR="00BF74E3">
        <w:rPr>
          <w:rFonts w:ascii="Arial" w:hAnsi="Arial" w:cs="Arial"/>
          <w:sz w:val="20"/>
          <w:szCs w:val="20"/>
        </w:rPr>
        <w:t>ые</w:t>
      </w:r>
      <w:r w:rsidR="00473580">
        <w:rPr>
          <w:rFonts w:ascii="Arial" w:hAnsi="Arial" w:cs="Arial"/>
          <w:sz w:val="20"/>
          <w:szCs w:val="20"/>
        </w:rPr>
        <w:t xml:space="preserve"> экономик</w:t>
      </w:r>
      <w:r w:rsidR="00A509A3">
        <w:rPr>
          <w:rFonts w:ascii="Arial" w:hAnsi="Arial" w:cs="Arial"/>
          <w:sz w:val="20"/>
          <w:szCs w:val="20"/>
        </w:rPr>
        <w:t xml:space="preserve">и технологически </w:t>
      </w:r>
      <w:r w:rsidR="00BF74E3">
        <w:rPr>
          <w:rFonts w:ascii="Arial" w:hAnsi="Arial" w:cs="Arial"/>
          <w:sz w:val="20"/>
          <w:szCs w:val="20"/>
        </w:rPr>
        <w:t xml:space="preserve">менее развиты. </w:t>
      </w:r>
      <w:r w:rsidR="005F1CC2">
        <w:rPr>
          <w:rFonts w:ascii="Arial" w:hAnsi="Arial" w:cs="Arial"/>
          <w:sz w:val="20"/>
          <w:szCs w:val="20"/>
        </w:rPr>
        <w:t>Эволюция финансовых и</w:t>
      </w:r>
      <w:r w:rsidR="00BF74E3">
        <w:rPr>
          <w:rFonts w:ascii="Arial" w:hAnsi="Arial" w:cs="Arial"/>
          <w:sz w:val="20"/>
          <w:szCs w:val="20"/>
        </w:rPr>
        <w:t xml:space="preserve"> капиталистических отношений</w:t>
      </w:r>
      <w:r w:rsidR="00013559" w:rsidRPr="00013559">
        <w:rPr>
          <w:rFonts w:ascii="Arial" w:hAnsi="Arial" w:cs="Arial"/>
          <w:sz w:val="20"/>
          <w:szCs w:val="20"/>
        </w:rPr>
        <w:t xml:space="preserve"> </w:t>
      </w:r>
      <w:r w:rsidR="00013559">
        <w:rPr>
          <w:rFonts w:ascii="Arial" w:hAnsi="Arial" w:cs="Arial"/>
          <w:sz w:val="20"/>
          <w:szCs w:val="20"/>
        </w:rPr>
        <w:t>в странах западной Европы и США</w:t>
      </w:r>
      <w:r w:rsidR="005D7F75">
        <w:rPr>
          <w:rFonts w:ascii="Arial" w:hAnsi="Arial" w:cs="Arial"/>
          <w:sz w:val="20"/>
          <w:szCs w:val="20"/>
        </w:rPr>
        <w:t>,</w:t>
      </w:r>
      <w:r w:rsidR="00BF74E3">
        <w:rPr>
          <w:rFonts w:ascii="Arial" w:hAnsi="Arial" w:cs="Arial"/>
          <w:sz w:val="20"/>
          <w:szCs w:val="20"/>
        </w:rPr>
        <w:t xml:space="preserve"> </w:t>
      </w:r>
      <w:r w:rsidR="005D7F75">
        <w:rPr>
          <w:rFonts w:ascii="Arial" w:hAnsi="Arial" w:cs="Arial"/>
          <w:sz w:val="20"/>
          <w:szCs w:val="20"/>
        </w:rPr>
        <w:t xml:space="preserve">особенно в </w:t>
      </w:r>
      <w:r w:rsidR="00BF74E3">
        <w:rPr>
          <w:rFonts w:ascii="Arial" w:hAnsi="Arial" w:cs="Arial"/>
          <w:sz w:val="20"/>
          <w:szCs w:val="20"/>
        </w:rPr>
        <w:t>1</w:t>
      </w:r>
      <w:r w:rsidR="00B33678">
        <w:rPr>
          <w:rFonts w:ascii="Arial" w:hAnsi="Arial" w:cs="Arial"/>
          <w:sz w:val="20"/>
          <w:szCs w:val="20"/>
        </w:rPr>
        <w:t>9</w:t>
      </w:r>
      <w:r w:rsidR="00BF74E3">
        <w:rPr>
          <w:rFonts w:ascii="Arial" w:hAnsi="Arial" w:cs="Arial"/>
          <w:sz w:val="20"/>
          <w:szCs w:val="20"/>
        </w:rPr>
        <w:t>-20 век</w:t>
      </w:r>
      <w:r w:rsidR="005D7F75">
        <w:rPr>
          <w:rFonts w:ascii="Arial" w:hAnsi="Arial" w:cs="Arial"/>
          <w:sz w:val="20"/>
          <w:szCs w:val="20"/>
        </w:rPr>
        <w:t>ах,</w:t>
      </w:r>
      <w:r w:rsidR="00BF74E3">
        <w:rPr>
          <w:rFonts w:ascii="Arial" w:hAnsi="Arial" w:cs="Arial"/>
          <w:sz w:val="20"/>
          <w:szCs w:val="20"/>
        </w:rPr>
        <w:t xml:space="preserve"> дал</w:t>
      </w:r>
      <w:r w:rsidR="005F1CC2">
        <w:rPr>
          <w:rFonts w:ascii="Arial" w:hAnsi="Arial" w:cs="Arial"/>
          <w:sz w:val="20"/>
          <w:szCs w:val="20"/>
        </w:rPr>
        <w:t>о</w:t>
      </w:r>
      <w:r w:rsidR="00BF74E3">
        <w:rPr>
          <w:rFonts w:ascii="Arial" w:hAnsi="Arial" w:cs="Arial"/>
          <w:sz w:val="20"/>
          <w:szCs w:val="20"/>
        </w:rPr>
        <w:t xml:space="preserve"> мощный импульс развити</w:t>
      </w:r>
      <w:r w:rsidR="005F1CC2">
        <w:rPr>
          <w:rFonts w:ascii="Arial" w:hAnsi="Arial" w:cs="Arial"/>
          <w:sz w:val="20"/>
          <w:szCs w:val="20"/>
        </w:rPr>
        <w:t>ю</w:t>
      </w:r>
      <w:r w:rsidR="00BF74E3">
        <w:rPr>
          <w:rFonts w:ascii="Arial" w:hAnsi="Arial" w:cs="Arial"/>
          <w:sz w:val="20"/>
          <w:szCs w:val="20"/>
        </w:rPr>
        <w:t xml:space="preserve"> науки</w:t>
      </w:r>
      <w:r w:rsidR="005F1CC2">
        <w:rPr>
          <w:rFonts w:ascii="Arial" w:hAnsi="Arial" w:cs="Arial"/>
          <w:sz w:val="20"/>
          <w:szCs w:val="20"/>
        </w:rPr>
        <w:t>, техники</w:t>
      </w:r>
      <w:r w:rsidR="00BF74E3">
        <w:rPr>
          <w:rFonts w:ascii="Arial" w:hAnsi="Arial" w:cs="Arial"/>
          <w:sz w:val="20"/>
          <w:szCs w:val="20"/>
        </w:rPr>
        <w:t xml:space="preserve"> и технологий</w:t>
      </w:r>
      <w:r w:rsidR="002D02EC">
        <w:rPr>
          <w:rFonts w:ascii="Arial" w:hAnsi="Arial" w:cs="Arial"/>
          <w:sz w:val="20"/>
          <w:szCs w:val="20"/>
        </w:rPr>
        <w:t xml:space="preserve"> в странах Запада</w:t>
      </w:r>
      <w:r w:rsidR="005F1CC2">
        <w:rPr>
          <w:rFonts w:ascii="Arial" w:hAnsi="Arial" w:cs="Arial"/>
          <w:sz w:val="20"/>
          <w:szCs w:val="20"/>
        </w:rPr>
        <w:t>.</w:t>
      </w:r>
      <w:r w:rsidR="002D02EC">
        <w:rPr>
          <w:rFonts w:ascii="Arial" w:hAnsi="Arial" w:cs="Arial"/>
          <w:sz w:val="20"/>
          <w:szCs w:val="20"/>
        </w:rPr>
        <w:t xml:space="preserve"> Это привело к </w:t>
      </w:r>
      <w:r w:rsidR="00F95580">
        <w:rPr>
          <w:rFonts w:ascii="Arial" w:hAnsi="Arial" w:cs="Arial"/>
          <w:sz w:val="20"/>
          <w:szCs w:val="20"/>
        </w:rPr>
        <w:t>значительному</w:t>
      </w:r>
      <w:r w:rsidR="002D02EC">
        <w:rPr>
          <w:rFonts w:ascii="Arial" w:hAnsi="Arial" w:cs="Arial"/>
          <w:sz w:val="20"/>
          <w:szCs w:val="20"/>
        </w:rPr>
        <w:t xml:space="preserve"> экономическому росту всех отраслей</w:t>
      </w:r>
      <w:r w:rsidR="00ED6168">
        <w:rPr>
          <w:rFonts w:ascii="Arial" w:hAnsi="Arial" w:cs="Arial"/>
          <w:sz w:val="20"/>
          <w:szCs w:val="20"/>
        </w:rPr>
        <w:t xml:space="preserve"> (</w:t>
      </w:r>
      <w:r w:rsidR="002D02EC">
        <w:rPr>
          <w:rFonts w:ascii="Arial" w:hAnsi="Arial" w:cs="Arial"/>
          <w:sz w:val="20"/>
          <w:szCs w:val="20"/>
        </w:rPr>
        <w:t>промышленности, транспорта, сельского хозяйства, строительства, связи</w:t>
      </w:r>
      <w:r w:rsidR="00ED6168">
        <w:rPr>
          <w:rFonts w:ascii="Arial" w:hAnsi="Arial" w:cs="Arial"/>
          <w:sz w:val="20"/>
          <w:szCs w:val="20"/>
        </w:rPr>
        <w:t>)</w:t>
      </w:r>
      <w:r w:rsidR="002D02EC">
        <w:rPr>
          <w:rFonts w:ascii="Arial" w:hAnsi="Arial" w:cs="Arial"/>
          <w:sz w:val="20"/>
          <w:szCs w:val="20"/>
        </w:rPr>
        <w:t xml:space="preserve"> этих стран</w:t>
      </w:r>
      <w:r w:rsidR="00ED6168">
        <w:rPr>
          <w:rFonts w:ascii="Arial" w:hAnsi="Arial" w:cs="Arial"/>
          <w:sz w:val="20"/>
          <w:szCs w:val="20"/>
        </w:rPr>
        <w:t xml:space="preserve"> и превосходству над </w:t>
      </w:r>
      <w:r w:rsidR="00B33678">
        <w:rPr>
          <w:rFonts w:ascii="Arial" w:hAnsi="Arial" w:cs="Arial"/>
          <w:sz w:val="20"/>
          <w:szCs w:val="20"/>
        </w:rPr>
        <w:t>другими странами</w:t>
      </w:r>
      <w:r w:rsidR="00ED6168">
        <w:rPr>
          <w:rFonts w:ascii="Arial" w:hAnsi="Arial" w:cs="Arial"/>
          <w:sz w:val="20"/>
          <w:szCs w:val="20"/>
        </w:rPr>
        <w:t>. Капитализм, как саморазвивающаяся и расширяющаяся система, пред</w:t>
      </w:r>
      <w:r w:rsidR="003009B5">
        <w:rPr>
          <w:rFonts w:ascii="Arial" w:hAnsi="Arial" w:cs="Arial"/>
          <w:sz w:val="20"/>
          <w:szCs w:val="20"/>
        </w:rPr>
        <w:t>определяет</w:t>
      </w:r>
      <w:r w:rsidR="00ED6168">
        <w:rPr>
          <w:rFonts w:ascii="Arial" w:hAnsi="Arial" w:cs="Arial"/>
          <w:sz w:val="20"/>
          <w:szCs w:val="20"/>
        </w:rPr>
        <w:t xml:space="preserve"> </w:t>
      </w:r>
      <w:r w:rsidR="00D44183">
        <w:rPr>
          <w:rFonts w:ascii="Arial" w:hAnsi="Arial" w:cs="Arial"/>
          <w:sz w:val="20"/>
          <w:szCs w:val="20"/>
        </w:rPr>
        <w:t xml:space="preserve">экспансию и захват </w:t>
      </w:r>
      <w:r w:rsidR="007A791F">
        <w:rPr>
          <w:rFonts w:ascii="Arial" w:hAnsi="Arial" w:cs="Arial"/>
          <w:sz w:val="20"/>
          <w:szCs w:val="20"/>
        </w:rPr>
        <w:t xml:space="preserve">новых </w:t>
      </w:r>
      <w:r w:rsidR="00B33678">
        <w:rPr>
          <w:rFonts w:ascii="Arial" w:hAnsi="Arial" w:cs="Arial"/>
          <w:sz w:val="20"/>
          <w:szCs w:val="20"/>
        </w:rPr>
        <w:t xml:space="preserve">территорий и </w:t>
      </w:r>
      <w:r w:rsidR="007A791F">
        <w:rPr>
          <w:rFonts w:ascii="Arial" w:hAnsi="Arial" w:cs="Arial"/>
          <w:sz w:val="20"/>
          <w:szCs w:val="20"/>
        </w:rPr>
        <w:t xml:space="preserve">ресурсов, новых рынков сырья и сбыта продукции, поглощение </w:t>
      </w:r>
      <w:r w:rsidR="00D44183">
        <w:rPr>
          <w:rFonts w:ascii="Arial" w:hAnsi="Arial" w:cs="Arial"/>
          <w:sz w:val="20"/>
          <w:szCs w:val="20"/>
        </w:rPr>
        <w:t>экономически</w:t>
      </w:r>
      <w:r w:rsidR="008E3628">
        <w:rPr>
          <w:rFonts w:ascii="Arial" w:hAnsi="Arial" w:cs="Arial"/>
          <w:sz w:val="20"/>
          <w:szCs w:val="20"/>
        </w:rPr>
        <w:t xml:space="preserve"> слабых </w:t>
      </w:r>
      <w:r w:rsidR="000D1D84">
        <w:rPr>
          <w:rFonts w:ascii="Arial" w:hAnsi="Arial" w:cs="Arial"/>
          <w:sz w:val="20"/>
          <w:szCs w:val="20"/>
        </w:rPr>
        <w:t>конкурентов</w:t>
      </w:r>
      <w:r w:rsidR="007A791F">
        <w:rPr>
          <w:rFonts w:ascii="Arial" w:hAnsi="Arial" w:cs="Arial"/>
          <w:sz w:val="20"/>
          <w:szCs w:val="20"/>
        </w:rPr>
        <w:t xml:space="preserve">, разорение в военном </w:t>
      </w:r>
      <w:r w:rsidR="002D50C0">
        <w:rPr>
          <w:rFonts w:ascii="Arial" w:hAnsi="Arial" w:cs="Arial"/>
          <w:sz w:val="20"/>
          <w:szCs w:val="20"/>
        </w:rPr>
        <w:t xml:space="preserve">и экономическом </w:t>
      </w:r>
      <w:r w:rsidR="007A791F">
        <w:rPr>
          <w:rFonts w:ascii="Arial" w:hAnsi="Arial" w:cs="Arial"/>
          <w:sz w:val="20"/>
          <w:szCs w:val="20"/>
        </w:rPr>
        <w:t>отношении слабых стран</w:t>
      </w:r>
      <w:r w:rsidR="00B33678">
        <w:rPr>
          <w:rFonts w:ascii="Arial" w:hAnsi="Arial" w:cs="Arial"/>
          <w:sz w:val="20"/>
          <w:szCs w:val="20"/>
        </w:rPr>
        <w:t xml:space="preserve"> </w:t>
      </w:r>
      <w:r w:rsidR="00013559">
        <w:rPr>
          <w:rFonts w:ascii="Arial" w:hAnsi="Arial" w:cs="Arial"/>
          <w:sz w:val="20"/>
          <w:szCs w:val="20"/>
        </w:rPr>
        <w:t>или</w:t>
      </w:r>
      <w:r w:rsidR="00B33678">
        <w:rPr>
          <w:rFonts w:ascii="Arial" w:hAnsi="Arial" w:cs="Arial"/>
          <w:sz w:val="20"/>
          <w:szCs w:val="20"/>
        </w:rPr>
        <w:t xml:space="preserve"> их контроль</w:t>
      </w:r>
      <w:r w:rsidR="000D1D84">
        <w:rPr>
          <w:rFonts w:ascii="Arial" w:hAnsi="Arial" w:cs="Arial"/>
          <w:sz w:val="20"/>
          <w:szCs w:val="20"/>
        </w:rPr>
        <w:t>.</w:t>
      </w:r>
      <w:r w:rsidR="007A791F">
        <w:rPr>
          <w:rFonts w:ascii="Arial" w:hAnsi="Arial" w:cs="Arial"/>
          <w:sz w:val="20"/>
          <w:szCs w:val="20"/>
        </w:rPr>
        <w:t xml:space="preserve"> </w:t>
      </w:r>
    </w:p>
    <w:p w:rsidR="00603E6A" w:rsidRDefault="00866F4E" w:rsidP="00603E6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Уничтожение </w:t>
      </w:r>
      <w:r w:rsidR="004314E1">
        <w:rPr>
          <w:rFonts w:ascii="Arial" w:hAnsi="Arial" w:cs="Arial"/>
          <w:sz w:val="20"/>
          <w:szCs w:val="20"/>
        </w:rPr>
        <w:t xml:space="preserve">или подчинение </w:t>
      </w:r>
      <w:r>
        <w:rPr>
          <w:rFonts w:ascii="Arial" w:hAnsi="Arial" w:cs="Arial"/>
          <w:sz w:val="20"/>
          <w:szCs w:val="20"/>
        </w:rPr>
        <w:t xml:space="preserve">неугодных Западу государств </w:t>
      </w:r>
      <w:r w:rsidR="005B137A">
        <w:rPr>
          <w:rFonts w:ascii="Arial" w:hAnsi="Arial" w:cs="Arial"/>
          <w:sz w:val="20"/>
          <w:szCs w:val="20"/>
        </w:rPr>
        <w:t xml:space="preserve">и правительств </w:t>
      </w:r>
      <w:r>
        <w:rPr>
          <w:rFonts w:ascii="Arial" w:hAnsi="Arial" w:cs="Arial"/>
          <w:sz w:val="20"/>
          <w:szCs w:val="20"/>
        </w:rPr>
        <w:t xml:space="preserve">в Латинской Америке, Африке, Азии и Европе, </w:t>
      </w:r>
      <w:r w:rsidR="005B137A">
        <w:rPr>
          <w:rFonts w:ascii="Arial" w:hAnsi="Arial" w:cs="Arial"/>
          <w:sz w:val="20"/>
          <w:szCs w:val="20"/>
        </w:rPr>
        <w:t>сильнейшее</w:t>
      </w:r>
      <w:r w:rsidR="00EF6830">
        <w:rPr>
          <w:rFonts w:ascii="Arial" w:hAnsi="Arial" w:cs="Arial"/>
          <w:sz w:val="20"/>
          <w:szCs w:val="20"/>
        </w:rPr>
        <w:t xml:space="preserve"> давление </w:t>
      </w:r>
      <w:r w:rsidR="005B137A">
        <w:rPr>
          <w:rFonts w:ascii="Arial" w:hAnsi="Arial" w:cs="Arial"/>
          <w:sz w:val="20"/>
          <w:szCs w:val="20"/>
        </w:rPr>
        <w:t xml:space="preserve">на Россию </w:t>
      </w:r>
      <w:r w:rsidR="00EF6830">
        <w:rPr>
          <w:rFonts w:ascii="Arial" w:hAnsi="Arial" w:cs="Arial"/>
          <w:sz w:val="20"/>
          <w:szCs w:val="20"/>
        </w:rPr>
        <w:t>со стороны США</w:t>
      </w:r>
      <w:r w:rsidR="002B277A">
        <w:rPr>
          <w:rFonts w:ascii="Arial" w:hAnsi="Arial" w:cs="Arial"/>
          <w:sz w:val="20"/>
          <w:szCs w:val="20"/>
        </w:rPr>
        <w:t xml:space="preserve"> </w:t>
      </w:r>
      <w:r w:rsidR="000366C6">
        <w:rPr>
          <w:rFonts w:ascii="Arial" w:hAnsi="Arial" w:cs="Arial"/>
          <w:sz w:val="20"/>
          <w:szCs w:val="20"/>
        </w:rPr>
        <w:t>во всех сферах международных отношений</w:t>
      </w:r>
      <w:r w:rsidR="00B418DE">
        <w:rPr>
          <w:rFonts w:ascii="Arial" w:hAnsi="Arial" w:cs="Arial"/>
          <w:sz w:val="20"/>
          <w:szCs w:val="20"/>
        </w:rPr>
        <w:t xml:space="preserve">, </w:t>
      </w:r>
      <w:r w:rsidR="002D50C0">
        <w:rPr>
          <w:rFonts w:ascii="Arial" w:hAnsi="Arial" w:cs="Arial"/>
          <w:sz w:val="20"/>
          <w:szCs w:val="20"/>
        </w:rPr>
        <w:t>демонстрируют</w:t>
      </w:r>
      <w:r w:rsidR="000366C6">
        <w:rPr>
          <w:rFonts w:ascii="Arial" w:hAnsi="Arial" w:cs="Arial"/>
          <w:sz w:val="20"/>
          <w:szCs w:val="20"/>
        </w:rPr>
        <w:t xml:space="preserve"> </w:t>
      </w:r>
      <w:r w:rsidR="00680879">
        <w:rPr>
          <w:rFonts w:ascii="Arial" w:hAnsi="Arial" w:cs="Arial"/>
          <w:sz w:val="20"/>
          <w:szCs w:val="20"/>
        </w:rPr>
        <w:t xml:space="preserve">стремление Запада во главе с США </w:t>
      </w:r>
      <w:r w:rsidR="00832695">
        <w:rPr>
          <w:rFonts w:ascii="Arial" w:hAnsi="Arial" w:cs="Arial"/>
          <w:sz w:val="20"/>
          <w:szCs w:val="20"/>
        </w:rPr>
        <w:t>господствовать</w:t>
      </w:r>
      <w:r w:rsidR="00680879">
        <w:rPr>
          <w:rFonts w:ascii="Arial" w:hAnsi="Arial" w:cs="Arial"/>
          <w:sz w:val="20"/>
          <w:szCs w:val="20"/>
        </w:rPr>
        <w:t xml:space="preserve"> над всем остальным миром</w:t>
      </w:r>
      <w:r w:rsidR="000366C6">
        <w:rPr>
          <w:rFonts w:ascii="Arial" w:hAnsi="Arial" w:cs="Arial"/>
          <w:sz w:val="20"/>
          <w:szCs w:val="20"/>
        </w:rPr>
        <w:t xml:space="preserve">. </w:t>
      </w:r>
      <w:r w:rsidR="00177CD7">
        <w:rPr>
          <w:rFonts w:ascii="Arial" w:hAnsi="Arial" w:cs="Arial"/>
          <w:sz w:val="20"/>
          <w:szCs w:val="20"/>
        </w:rPr>
        <w:t xml:space="preserve">Это подтверждается </w:t>
      </w:r>
      <w:r w:rsidR="002B0A96">
        <w:rPr>
          <w:rFonts w:ascii="Arial" w:hAnsi="Arial" w:cs="Arial"/>
          <w:sz w:val="20"/>
          <w:szCs w:val="20"/>
        </w:rPr>
        <w:t>последними</w:t>
      </w:r>
      <w:r w:rsidR="00EC1F58">
        <w:rPr>
          <w:rFonts w:ascii="Arial" w:hAnsi="Arial" w:cs="Arial"/>
          <w:sz w:val="20"/>
          <w:szCs w:val="20"/>
        </w:rPr>
        <w:t xml:space="preserve"> с</w:t>
      </w:r>
      <w:r w:rsidR="00603E6A">
        <w:rPr>
          <w:rFonts w:ascii="Arial" w:hAnsi="Arial" w:cs="Arial"/>
          <w:sz w:val="20"/>
          <w:szCs w:val="20"/>
        </w:rPr>
        <w:t>обытия</w:t>
      </w:r>
      <w:r w:rsidR="005B137A">
        <w:rPr>
          <w:rFonts w:ascii="Arial" w:hAnsi="Arial" w:cs="Arial"/>
          <w:sz w:val="20"/>
          <w:szCs w:val="20"/>
        </w:rPr>
        <w:t>ми</w:t>
      </w:r>
      <w:r w:rsidR="00603E6A">
        <w:rPr>
          <w:rFonts w:ascii="Arial" w:hAnsi="Arial" w:cs="Arial"/>
          <w:sz w:val="20"/>
          <w:szCs w:val="20"/>
        </w:rPr>
        <w:t>:</w:t>
      </w:r>
    </w:p>
    <w:p w:rsidR="000366C6" w:rsidRDefault="00EB4D84" w:rsidP="00EE198B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Военн</w:t>
      </w:r>
      <w:r w:rsidR="0056407C">
        <w:rPr>
          <w:rFonts w:ascii="Arial" w:hAnsi="Arial" w:cs="Arial"/>
          <w:sz w:val="20"/>
          <w:szCs w:val="20"/>
        </w:rPr>
        <w:t>ые</w:t>
      </w:r>
      <w:r>
        <w:rPr>
          <w:rFonts w:ascii="Arial" w:hAnsi="Arial" w:cs="Arial"/>
          <w:sz w:val="20"/>
          <w:szCs w:val="20"/>
        </w:rPr>
        <w:t xml:space="preserve"> нападени</w:t>
      </w:r>
      <w:r w:rsidR="0056407C">
        <w:rPr>
          <w:rFonts w:ascii="Arial" w:hAnsi="Arial" w:cs="Arial"/>
          <w:sz w:val="20"/>
          <w:szCs w:val="20"/>
        </w:rPr>
        <w:t>я</w:t>
      </w:r>
      <w:r w:rsidR="00763826">
        <w:rPr>
          <w:rFonts w:ascii="Arial" w:hAnsi="Arial" w:cs="Arial"/>
          <w:sz w:val="20"/>
          <w:szCs w:val="20"/>
        </w:rPr>
        <w:t xml:space="preserve"> НАТО, о</w:t>
      </w:r>
      <w:r w:rsidR="00EC1F58">
        <w:rPr>
          <w:rFonts w:ascii="Arial" w:hAnsi="Arial" w:cs="Arial"/>
          <w:sz w:val="20"/>
          <w:szCs w:val="20"/>
        </w:rPr>
        <w:t xml:space="preserve">рганизация внутренних </w:t>
      </w:r>
      <w:r w:rsidR="002D50C0">
        <w:rPr>
          <w:rFonts w:ascii="Arial" w:hAnsi="Arial" w:cs="Arial"/>
          <w:sz w:val="20"/>
          <w:szCs w:val="20"/>
        </w:rPr>
        <w:t>конфликтов</w:t>
      </w:r>
      <w:r w:rsidR="00763826">
        <w:rPr>
          <w:rFonts w:ascii="Arial" w:hAnsi="Arial" w:cs="Arial"/>
          <w:sz w:val="20"/>
          <w:szCs w:val="20"/>
        </w:rPr>
        <w:t xml:space="preserve"> и</w:t>
      </w:r>
      <w:r w:rsidR="002D50C0">
        <w:rPr>
          <w:rFonts w:ascii="Arial" w:hAnsi="Arial" w:cs="Arial"/>
          <w:sz w:val="20"/>
          <w:szCs w:val="20"/>
        </w:rPr>
        <w:t xml:space="preserve"> </w:t>
      </w:r>
      <w:r w:rsidR="0062685E">
        <w:rPr>
          <w:rFonts w:ascii="Arial" w:hAnsi="Arial" w:cs="Arial"/>
          <w:sz w:val="20"/>
          <w:szCs w:val="20"/>
        </w:rPr>
        <w:t>сетевых</w:t>
      </w:r>
      <w:r w:rsidR="002D50C0">
        <w:rPr>
          <w:rFonts w:ascii="Arial" w:hAnsi="Arial" w:cs="Arial"/>
          <w:sz w:val="20"/>
          <w:szCs w:val="20"/>
        </w:rPr>
        <w:t xml:space="preserve"> революций</w:t>
      </w:r>
      <w:r w:rsidR="00EC1F58">
        <w:rPr>
          <w:rFonts w:ascii="Arial" w:hAnsi="Arial" w:cs="Arial"/>
          <w:sz w:val="20"/>
          <w:szCs w:val="20"/>
        </w:rPr>
        <w:t xml:space="preserve"> </w:t>
      </w:r>
      <w:r w:rsidR="002D50C0">
        <w:rPr>
          <w:rFonts w:ascii="Arial" w:hAnsi="Arial" w:cs="Arial"/>
          <w:sz w:val="20"/>
          <w:szCs w:val="20"/>
        </w:rPr>
        <w:t xml:space="preserve">(Югославия, Ирак, </w:t>
      </w:r>
      <w:r w:rsidR="00763826">
        <w:rPr>
          <w:rFonts w:ascii="Arial" w:hAnsi="Arial" w:cs="Arial"/>
          <w:sz w:val="20"/>
          <w:szCs w:val="20"/>
        </w:rPr>
        <w:t xml:space="preserve">Афганистан, </w:t>
      </w:r>
      <w:r w:rsidR="002D50C0">
        <w:rPr>
          <w:rFonts w:ascii="Arial" w:hAnsi="Arial" w:cs="Arial"/>
          <w:sz w:val="20"/>
          <w:szCs w:val="20"/>
        </w:rPr>
        <w:t xml:space="preserve">Ливия, </w:t>
      </w:r>
      <w:r w:rsidR="00763826">
        <w:rPr>
          <w:rFonts w:ascii="Arial" w:hAnsi="Arial" w:cs="Arial"/>
          <w:sz w:val="20"/>
          <w:szCs w:val="20"/>
        </w:rPr>
        <w:t xml:space="preserve">Киргизия, Узбекистан, Молдавия, </w:t>
      </w:r>
      <w:r w:rsidR="002D50C0">
        <w:rPr>
          <w:rFonts w:ascii="Arial" w:hAnsi="Arial" w:cs="Arial"/>
          <w:sz w:val="20"/>
          <w:szCs w:val="20"/>
        </w:rPr>
        <w:t xml:space="preserve">Египет, </w:t>
      </w:r>
      <w:r w:rsidR="005E7464">
        <w:rPr>
          <w:rFonts w:ascii="Arial" w:hAnsi="Arial" w:cs="Arial"/>
          <w:sz w:val="20"/>
          <w:szCs w:val="20"/>
        </w:rPr>
        <w:t xml:space="preserve">Алжир, Тунис, </w:t>
      </w:r>
      <w:r w:rsidR="002D50C0">
        <w:rPr>
          <w:rFonts w:ascii="Arial" w:hAnsi="Arial" w:cs="Arial"/>
          <w:sz w:val="20"/>
          <w:szCs w:val="20"/>
        </w:rPr>
        <w:t>Грузия, Украина, Сирия)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:rsidR="00EC1F58" w:rsidRDefault="00EB4D84" w:rsidP="00EE198B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</w:t>
      </w:r>
      <w:r w:rsidR="00686BA8" w:rsidRPr="00EB4D84">
        <w:rPr>
          <w:rFonts w:ascii="Arial" w:hAnsi="Arial" w:cs="Arial"/>
          <w:sz w:val="20"/>
          <w:szCs w:val="20"/>
        </w:rPr>
        <w:t>более 730</w:t>
      </w:r>
      <w:r w:rsidR="00686BA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6BA8" w:rsidRPr="00686BA8">
          <w:rPr>
            <w:rStyle w:val="a4"/>
            <w:rFonts w:ascii="Arial" w:hAnsi="Arial" w:cs="Arial"/>
            <w:sz w:val="20"/>
            <w:szCs w:val="20"/>
            <w:vertAlign w:val="superscript"/>
          </w:rPr>
          <w:t>[*]</w:t>
        </w:r>
      </w:hyperlink>
      <w:r w:rsidR="00686BA8" w:rsidRPr="00EB4D84">
        <w:rPr>
          <w:rFonts w:ascii="Arial" w:hAnsi="Arial" w:cs="Arial"/>
          <w:sz w:val="20"/>
          <w:szCs w:val="20"/>
        </w:rPr>
        <w:t xml:space="preserve"> </w:t>
      </w:r>
      <w:r w:rsidR="005F492F">
        <w:rPr>
          <w:rFonts w:ascii="Arial" w:hAnsi="Arial" w:cs="Arial"/>
          <w:sz w:val="20"/>
          <w:szCs w:val="20"/>
        </w:rPr>
        <w:t xml:space="preserve">военных </w:t>
      </w:r>
      <w:r w:rsidRPr="00EB4D84">
        <w:rPr>
          <w:rFonts w:ascii="Arial" w:hAnsi="Arial" w:cs="Arial"/>
          <w:sz w:val="20"/>
          <w:szCs w:val="20"/>
        </w:rPr>
        <w:t xml:space="preserve">баз США </w:t>
      </w:r>
      <w:r w:rsidR="005F492F">
        <w:rPr>
          <w:rFonts w:ascii="Arial" w:hAnsi="Arial" w:cs="Arial"/>
          <w:sz w:val="20"/>
          <w:szCs w:val="20"/>
        </w:rPr>
        <w:t>за рубежом</w:t>
      </w:r>
      <w:r w:rsidR="00832695">
        <w:rPr>
          <w:rFonts w:ascii="Arial" w:hAnsi="Arial" w:cs="Arial"/>
          <w:sz w:val="20"/>
          <w:szCs w:val="20"/>
        </w:rPr>
        <w:t xml:space="preserve"> и р</w:t>
      </w:r>
      <w:r w:rsidR="005E7464">
        <w:rPr>
          <w:rFonts w:ascii="Arial" w:hAnsi="Arial" w:cs="Arial"/>
          <w:sz w:val="20"/>
          <w:szCs w:val="20"/>
        </w:rPr>
        <w:t xml:space="preserve">азмещение новых баз </w:t>
      </w:r>
      <w:r w:rsidR="00DA29F9">
        <w:rPr>
          <w:rFonts w:ascii="Arial" w:hAnsi="Arial" w:cs="Arial"/>
          <w:sz w:val="20"/>
          <w:szCs w:val="20"/>
        </w:rPr>
        <w:t xml:space="preserve">и средств ПВО </w:t>
      </w:r>
      <w:r w:rsidR="00CD578C">
        <w:rPr>
          <w:rFonts w:ascii="Arial" w:hAnsi="Arial" w:cs="Arial"/>
          <w:sz w:val="20"/>
          <w:szCs w:val="20"/>
        </w:rPr>
        <w:t xml:space="preserve">у границ России: </w:t>
      </w:r>
      <w:r w:rsidR="00DA29F9">
        <w:rPr>
          <w:rFonts w:ascii="Arial" w:hAnsi="Arial" w:cs="Arial"/>
          <w:sz w:val="20"/>
          <w:szCs w:val="20"/>
        </w:rPr>
        <w:t xml:space="preserve">в Польше, Румынии, </w:t>
      </w:r>
      <w:r w:rsidR="0057185E">
        <w:rPr>
          <w:rFonts w:ascii="Arial" w:hAnsi="Arial" w:cs="Arial"/>
          <w:sz w:val="20"/>
          <w:szCs w:val="20"/>
        </w:rPr>
        <w:t>Прибалтике;</w:t>
      </w:r>
    </w:p>
    <w:p w:rsidR="00FC09C3" w:rsidRDefault="0057185E" w:rsidP="00EE198B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Экономические санкции </w:t>
      </w:r>
      <w:r w:rsidR="00FD4FE1">
        <w:rPr>
          <w:rFonts w:ascii="Arial" w:hAnsi="Arial" w:cs="Arial"/>
          <w:sz w:val="20"/>
          <w:szCs w:val="20"/>
        </w:rPr>
        <w:t>против России</w:t>
      </w:r>
      <w:r w:rsidR="00CD578C">
        <w:rPr>
          <w:rFonts w:ascii="Arial" w:hAnsi="Arial" w:cs="Arial"/>
          <w:sz w:val="20"/>
          <w:szCs w:val="20"/>
        </w:rPr>
        <w:t xml:space="preserve">, выражающиеся </w:t>
      </w:r>
      <w:r w:rsidR="001B7090">
        <w:rPr>
          <w:rFonts w:ascii="Arial" w:hAnsi="Arial" w:cs="Arial"/>
          <w:sz w:val="20"/>
          <w:szCs w:val="20"/>
        </w:rPr>
        <w:t xml:space="preserve">в основном </w:t>
      </w:r>
      <w:r w:rsidR="00CD578C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ограничении</w:t>
      </w:r>
      <w:r w:rsidR="00CD578C">
        <w:rPr>
          <w:rFonts w:ascii="Arial" w:hAnsi="Arial" w:cs="Arial"/>
          <w:sz w:val="20"/>
          <w:szCs w:val="20"/>
        </w:rPr>
        <w:t xml:space="preserve"> </w:t>
      </w:r>
      <w:r w:rsidR="00E27A5A">
        <w:rPr>
          <w:rFonts w:ascii="Arial" w:hAnsi="Arial" w:cs="Arial"/>
          <w:sz w:val="20"/>
          <w:szCs w:val="20"/>
        </w:rPr>
        <w:t xml:space="preserve">инвестиций и продажи ряда технологичных товаров, а также </w:t>
      </w:r>
      <w:r w:rsidR="00686BA8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запрет</w:t>
      </w:r>
      <w:r w:rsidR="00686BA8">
        <w:rPr>
          <w:rFonts w:ascii="Arial" w:hAnsi="Arial" w:cs="Arial"/>
          <w:sz w:val="20"/>
          <w:szCs w:val="20"/>
        </w:rPr>
        <w:t>е</w:t>
      </w:r>
      <w:r w:rsidR="00E27A5A">
        <w:rPr>
          <w:rFonts w:ascii="Arial" w:hAnsi="Arial" w:cs="Arial"/>
          <w:sz w:val="20"/>
          <w:szCs w:val="20"/>
        </w:rPr>
        <w:t xml:space="preserve"> операций по счетам крупнейших российских компаний</w:t>
      </w:r>
      <w:r w:rsidR="00C351A8">
        <w:rPr>
          <w:rFonts w:ascii="Arial" w:hAnsi="Arial" w:cs="Arial"/>
          <w:sz w:val="20"/>
          <w:szCs w:val="20"/>
        </w:rPr>
        <w:t xml:space="preserve">. </w:t>
      </w:r>
      <w:r w:rsidR="0097405C">
        <w:rPr>
          <w:rFonts w:ascii="Arial" w:hAnsi="Arial" w:cs="Arial"/>
          <w:sz w:val="20"/>
          <w:szCs w:val="20"/>
        </w:rPr>
        <w:t xml:space="preserve">В 2014 году </w:t>
      </w:r>
      <w:r w:rsidR="0086358F">
        <w:rPr>
          <w:rFonts w:ascii="Arial" w:hAnsi="Arial" w:cs="Arial"/>
          <w:sz w:val="20"/>
          <w:szCs w:val="20"/>
        </w:rPr>
        <w:t>озвучивались</w:t>
      </w:r>
      <w:r w:rsidR="00C351A8">
        <w:rPr>
          <w:rFonts w:ascii="Arial" w:hAnsi="Arial" w:cs="Arial"/>
          <w:sz w:val="20"/>
          <w:szCs w:val="20"/>
        </w:rPr>
        <w:t xml:space="preserve"> также угрозы </w:t>
      </w:r>
      <w:r w:rsidR="0097405C">
        <w:rPr>
          <w:rFonts w:ascii="Arial" w:hAnsi="Arial" w:cs="Arial"/>
          <w:sz w:val="20"/>
          <w:szCs w:val="20"/>
        </w:rPr>
        <w:t xml:space="preserve">отключить Россию </w:t>
      </w:r>
      <w:r w:rsidR="00C351A8">
        <w:rPr>
          <w:rFonts w:ascii="Arial" w:hAnsi="Arial" w:cs="Arial"/>
          <w:sz w:val="20"/>
          <w:szCs w:val="20"/>
        </w:rPr>
        <w:t xml:space="preserve">от системы международных расчётов </w:t>
      </w:r>
      <w:r w:rsidR="00C351A8">
        <w:rPr>
          <w:rFonts w:ascii="Arial" w:hAnsi="Arial" w:cs="Arial"/>
          <w:sz w:val="20"/>
          <w:szCs w:val="20"/>
          <w:lang w:val="en-US"/>
        </w:rPr>
        <w:t>SWIFT</w:t>
      </w:r>
      <w:r w:rsidR="002505FC">
        <w:rPr>
          <w:rFonts w:ascii="Arial" w:hAnsi="Arial" w:cs="Arial"/>
          <w:sz w:val="20"/>
          <w:szCs w:val="20"/>
        </w:rPr>
        <w:t>;</w:t>
      </w:r>
    </w:p>
    <w:p w:rsidR="002C49DB" w:rsidRDefault="00657CBD" w:rsidP="00EE198B">
      <w:pPr>
        <w:pStyle w:val="a3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Происходят острые конфликты и пе</w:t>
      </w:r>
      <w:r w:rsidR="002C49DB">
        <w:rPr>
          <w:rFonts w:ascii="Arial" w:hAnsi="Arial" w:cs="Arial"/>
          <w:sz w:val="20"/>
          <w:szCs w:val="20"/>
        </w:rPr>
        <w:t>редел на энергетических рынках с н</w:t>
      </w:r>
      <w:r w:rsidR="005E44AF" w:rsidRPr="002C49DB">
        <w:rPr>
          <w:rFonts w:ascii="Arial" w:hAnsi="Arial" w:cs="Arial"/>
          <w:sz w:val="20"/>
          <w:szCs w:val="20"/>
        </w:rPr>
        <w:t>арастание</w:t>
      </w:r>
      <w:r w:rsidR="002C49DB">
        <w:rPr>
          <w:rFonts w:ascii="Arial" w:hAnsi="Arial" w:cs="Arial"/>
          <w:sz w:val="20"/>
          <w:szCs w:val="20"/>
        </w:rPr>
        <w:t>м</w:t>
      </w:r>
      <w:r w:rsidR="005E44AF" w:rsidRPr="002C49DB">
        <w:rPr>
          <w:rFonts w:ascii="Arial" w:hAnsi="Arial" w:cs="Arial"/>
          <w:sz w:val="20"/>
          <w:szCs w:val="20"/>
        </w:rPr>
        <w:t xml:space="preserve"> военно-политического </w:t>
      </w:r>
      <w:r w:rsidR="00832695" w:rsidRPr="002C49DB">
        <w:rPr>
          <w:rFonts w:ascii="Arial" w:hAnsi="Arial" w:cs="Arial"/>
          <w:sz w:val="20"/>
          <w:szCs w:val="20"/>
        </w:rPr>
        <w:t>давления</w:t>
      </w:r>
      <w:r w:rsidR="005E44AF" w:rsidRPr="002C49DB">
        <w:rPr>
          <w:rFonts w:ascii="Arial" w:hAnsi="Arial" w:cs="Arial"/>
          <w:sz w:val="20"/>
          <w:szCs w:val="20"/>
        </w:rPr>
        <w:t xml:space="preserve"> США </w:t>
      </w:r>
      <w:r w:rsidR="00832695" w:rsidRPr="002C49DB">
        <w:rPr>
          <w:rFonts w:ascii="Arial" w:hAnsi="Arial" w:cs="Arial"/>
          <w:sz w:val="20"/>
          <w:szCs w:val="20"/>
        </w:rPr>
        <w:t>на</w:t>
      </w:r>
      <w:r w:rsidR="005E44AF" w:rsidRPr="002C49DB">
        <w:rPr>
          <w:rFonts w:ascii="Arial" w:hAnsi="Arial" w:cs="Arial"/>
          <w:sz w:val="20"/>
          <w:szCs w:val="20"/>
        </w:rPr>
        <w:t xml:space="preserve"> Росси</w:t>
      </w:r>
      <w:r w:rsidR="00832695" w:rsidRPr="002C49DB">
        <w:rPr>
          <w:rFonts w:ascii="Arial" w:hAnsi="Arial" w:cs="Arial"/>
          <w:sz w:val="20"/>
          <w:szCs w:val="20"/>
        </w:rPr>
        <w:t>ю</w:t>
      </w:r>
      <w:r w:rsidR="002C49DB">
        <w:rPr>
          <w:rFonts w:ascii="Arial" w:hAnsi="Arial" w:cs="Arial"/>
          <w:sz w:val="20"/>
          <w:szCs w:val="20"/>
        </w:rPr>
        <w:t>:</w:t>
      </w:r>
    </w:p>
    <w:p w:rsidR="00350A1F" w:rsidRPr="002C49DB" w:rsidRDefault="00EE198B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-</w:t>
      </w:r>
      <w:r w:rsidR="005E44AF" w:rsidRPr="002C49DB">
        <w:rPr>
          <w:rFonts w:ascii="Arial" w:hAnsi="Arial" w:cs="Arial"/>
          <w:sz w:val="20"/>
          <w:szCs w:val="20"/>
        </w:rPr>
        <w:t xml:space="preserve"> на Ближнем Востоке</w:t>
      </w:r>
      <w:r w:rsidR="00832695" w:rsidRPr="002C49DB">
        <w:rPr>
          <w:rFonts w:ascii="Arial" w:hAnsi="Arial" w:cs="Arial"/>
          <w:sz w:val="20"/>
          <w:szCs w:val="20"/>
        </w:rPr>
        <w:t>:</w:t>
      </w:r>
      <w:r w:rsidR="00981870" w:rsidRPr="002C49DB">
        <w:rPr>
          <w:rFonts w:ascii="Arial" w:hAnsi="Arial" w:cs="Arial"/>
          <w:sz w:val="20"/>
          <w:szCs w:val="20"/>
        </w:rPr>
        <w:t xml:space="preserve"> </w:t>
      </w:r>
    </w:p>
    <w:p w:rsidR="00530E7B" w:rsidRDefault="00EE198B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981870">
        <w:rPr>
          <w:rFonts w:ascii="Arial" w:hAnsi="Arial" w:cs="Arial"/>
          <w:sz w:val="20"/>
          <w:szCs w:val="20"/>
        </w:rPr>
        <w:t xml:space="preserve">В 2003 году </w:t>
      </w:r>
      <w:r w:rsidR="00B23B76">
        <w:rPr>
          <w:rFonts w:ascii="Arial" w:hAnsi="Arial" w:cs="Arial"/>
          <w:sz w:val="20"/>
          <w:szCs w:val="20"/>
        </w:rPr>
        <w:t xml:space="preserve">Соединённые Штаты </w:t>
      </w:r>
      <w:r w:rsidR="00350A1F">
        <w:rPr>
          <w:rFonts w:ascii="Arial" w:hAnsi="Arial" w:cs="Arial"/>
          <w:sz w:val="20"/>
          <w:szCs w:val="20"/>
        </w:rPr>
        <w:t xml:space="preserve">с целью установления своего </w:t>
      </w:r>
      <w:r w:rsidR="00B23B76">
        <w:rPr>
          <w:rFonts w:ascii="Arial" w:hAnsi="Arial" w:cs="Arial"/>
          <w:sz w:val="20"/>
          <w:szCs w:val="20"/>
        </w:rPr>
        <w:t>господства в этом важнейшем нефтегазоносном регионе уничтожили</w:t>
      </w:r>
      <w:r w:rsidR="00981870">
        <w:rPr>
          <w:rFonts w:ascii="Arial" w:hAnsi="Arial" w:cs="Arial"/>
          <w:sz w:val="20"/>
          <w:szCs w:val="20"/>
        </w:rPr>
        <w:t xml:space="preserve"> законно</w:t>
      </w:r>
      <w:r w:rsidR="00B23B76">
        <w:rPr>
          <w:rFonts w:ascii="Arial" w:hAnsi="Arial" w:cs="Arial"/>
          <w:sz w:val="20"/>
          <w:szCs w:val="20"/>
        </w:rPr>
        <w:t>е</w:t>
      </w:r>
      <w:r w:rsidR="00981870">
        <w:rPr>
          <w:rFonts w:ascii="Arial" w:hAnsi="Arial" w:cs="Arial"/>
          <w:sz w:val="20"/>
          <w:szCs w:val="20"/>
        </w:rPr>
        <w:t xml:space="preserve"> иракско</w:t>
      </w:r>
      <w:r w:rsidR="00B23B76">
        <w:rPr>
          <w:rFonts w:ascii="Arial" w:hAnsi="Arial" w:cs="Arial"/>
          <w:sz w:val="20"/>
          <w:szCs w:val="20"/>
        </w:rPr>
        <w:t>е</w:t>
      </w:r>
      <w:r w:rsidR="00981870">
        <w:rPr>
          <w:rFonts w:ascii="Arial" w:hAnsi="Arial" w:cs="Arial"/>
          <w:sz w:val="20"/>
          <w:szCs w:val="20"/>
        </w:rPr>
        <w:t xml:space="preserve"> правительств</w:t>
      </w:r>
      <w:r w:rsidR="00B23B76">
        <w:rPr>
          <w:rFonts w:ascii="Arial" w:hAnsi="Arial" w:cs="Arial"/>
          <w:sz w:val="20"/>
          <w:szCs w:val="20"/>
        </w:rPr>
        <w:t>о</w:t>
      </w:r>
      <w:r w:rsidR="00981870">
        <w:rPr>
          <w:rFonts w:ascii="Arial" w:hAnsi="Arial" w:cs="Arial"/>
          <w:sz w:val="20"/>
          <w:szCs w:val="20"/>
        </w:rPr>
        <w:t xml:space="preserve"> </w:t>
      </w:r>
      <w:r w:rsidR="00350A1F">
        <w:rPr>
          <w:rFonts w:ascii="Arial" w:hAnsi="Arial" w:cs="Arial"/>
          <w:sz w:val="20"/>
          <w:szCs w:val="20"/>
        </w:rPr>
        <w:t>и втор</w:t>
      </w:r>
      <w:r w:rsidR="00B23B76">
        <w:rPr>
          <w:rFonts w:ascii="Arial" w:hAnsi="Arial" w:cs="Arial"/>
          <w:sz w:val="20"/>
          <w:szCs w:val="20"/>
        </w:rPr>
        <w:t xml:space="preserve">глись </w:t>
      </w:r>
      <w:r w:rsidR="00350A1F">
        <w:rPr>
          <w:rFonts w:ascii="Arial" w:hAnsi="Arial" w:cs="Arial"/>
          <w:sz w:val="20"/>
          <w:szCs w:val="20"/>
        </w:rPr>
        <w:t>в Афганистан</w:t>
      </w:r>
      <w:r w:rsidR="00B23B76">
        <w:rPr>
          <w:rFonts w:ascii="Arial" w:hAnsi="Arial" w:cs="Arial"/>
          <w:sz w:val="20"/>
          <w:szCs w:val="20"/>
        </w:rPr>
        <w:t>.</w:t>
      </w:r>
      <w:r w:rsidR="00350A1F">
        <w:rPr>
          <w:rFonts w:ascii="Arial" w:hAnsi="Arial" w:cs="Arial"/>
          <w:sz w:val="20"/>
          <w:szCs w:val="20"/>
        </w:rPr>
        <w:t xml:space="preserve"> </w:t>
      </w:r>
      <w:r w:rsidR="00B23B76">
        <w:rPr>
          <w:rFonts w:ascii="Arial" w:hAnsi="Arial" w:cs="Arial"/>
          <w:sz w:val="20"/>
          <w:szCs w:val="20"/>
        </w:rPr>
        <w:t xml:space="preserve">В результате создавшегося безвластия и хаоса на территориях Ирака, Афганистана и большей части Сирии </w:t>
      </w:r>
      <w:r w:rsidR="00981870">
        <w:rPr>
          <w:rFonts w:ascii="Arial" w:hAnsi="Arial" w:cs="Arial"/>
          <w:sz w:val="20"/>
          <w:szCs w:val="20"/>
        </w:rPr>
        <w:t>возник центр международного терроризма</w:t>
      </w:r>
      <w:r w:rsidR="00350A1F">
        <w:rPr>
          <w:rFonts w:ascii="Arial" w:hAnsi="Arial" w:cs="Arial"/>
          <w:sz w:val="20"/>
          <w:szCs w:val="20"/>
        </w:rPr>
        <w:t xml:space="preserve">, угрожая распространением </w:t>
      </w:r>
      <w:r w:rsidR="00E75ED1">
        <w:rPr>
          <w:rFonts w:ascii="Arial" w:hAnsi="Arial" w:cs="Arial"/>
          <w:sz w:val="20"/>
          <w:szCs w:val="20"/>
        </w:rPr>
        <w:t xml:space="preserve">и </w:t>
      </w:r>
      <w:r w:rsidR="00350A1F">
        <w:rPr>
          <w:rFonts w:ascii="Arial" w:hAnsi="Arial" w:cs="Arial"/>
          <w:sz w:val="20"/>
          <w:szCs w:val="20"/>
        </w:rPr>
        <w:t xml:space="preserve">на российскую территорию. </w:t>
      </w:r>
      <w:r w:rsidR="00AA07FD">
        <w:rPr>
          <w:rFonts w:ascii="Arial" w:hAnsi="Arial" w:cs="Arial"/>
          <w:sz w:val="20"/>
          <w:szCs w:val="20"/>
        </w:rPr>
        <w:t>В</w:t>
      </w:r>
      <w:r w:rsidR="00350A1F">
        <w:rPr>
          <w:rFonts w:ascii="Arial" w:hAnsi="Arial" w:cs="Arial"/>
          <w:sz w:val="20"/>
          <w:szCs w:val="20"/>
        </w:rPr>
        <w:t xml:space="preserve"> 2015 год</w:t>
      </w:r>
      <w:r w:rsidR="00AA07FD">
        <w:rPr>
          <w:rFonts w:ascii="Arial" w:hAnsi="Arial" w:cs="Arial"/>
          <w:sz w:val="20"/>
          <w:szCs w:val="20"/>
        </w:rPr>
        <w:t>у</w:t>
      </w:r>
      <w:r w:rsidR="00350A1F">
        <w:rPr>
          <w:rFonts w:ascii="Arial" w:hAnsi="Arial" w:cs="Arial"/>
          <w:sz w:val="20"/>
          <w:szCs w:val="20"/>
        </w:rPr>
        <w:t xml:space="preserve"> Россия</w:t>
      </w:r>
      <w:r w:rsidR="00E75ED1">
        <w:rPr>
          <w:rFonts w:ascii="Arial" w:hAnsi="Arial" w:cs="Arial"/>
          <w:sz w:val="20"/>
          <w:szCs w:val="20"/>
        </w:rPr>
        <w:t xml:space="preserve"> </w:t>
      </w:r>
      <w:r w:rsidR="00350A1F">
        <w:rPr>
          <w:rFonts w:ascii="Arial" w:hAnsi="Arial" w:cs="Arial"/>
          <w:sz w:val="20"/>
          <w:szCs w:val="20"/>
        </w:rPr>
        <w:t>вступи</w:t>
      </w:r>
      <w:r w:rsidR="00E75ED1">
        <w:rPr>
          <w:rFonts w:ascii="Arial" w:hAnsi="Arial" w:cs="Arial"/>
          <w:sz w:val="20"/>
          <w:szCs w:val="20"/>
        </w:rPr>
        <w:t>ла</w:t>
      </w:r>
      <w:r w:rsidR="00350A1F">
        <w:rPr>
          <w:rFonts w:ascii="Arial" w:hAnsi="Arial" w:cs="Arial"/>
          <w:sz w:val="20"/>
          <w:szCs w:val="20"/>
        </w:rPr>
        <w:t xml:space="preserve"> в борьбу против экстреми</w:t>
      </w:r>
      <w:r w:rsidR="00271F89">
        <w:rPr>
          <w:rFonts w:ascii="Arial" w:hAnsi="Arial" w:cs="Arial"/>
          <w:sz w:val="20"/>
          <w:szCs w:val="20"/>
        </w:rPr>
        <w:t>зма</w:t>
      </w:r>
      <w:r w:rsidR="00350A1F">
        <w:rPr>
          <w:rFonts w:ascii="Arial" w:hAnsi="Arial" w:cs="Arial"/>
          <w:sz w:val="20"/>
          <w:szCs w:val="20"/>
        </w:rPr>
        <w:t xml:space="preserve"> </w:t>
      </w:r>
      <w:r w:rsidR="00E75ED1">
        <w:rPr>
          <w:rFonts w:ascii="Arial" w:hAnsi="Arial" w:cs="Arial"/>
          <w:sz w:val="20"/>
          <w:szCs w:val="20"/>
        </w:rPr>
        <w:t>на стороне законного сирийского правительства</w:t>
      </w:r>
      <w:r w:rsidR="009111A3">
        <w:rPr>
          <w:rFonts w:ascii="Arial" w:hAnsi="Arial" w:cs="Arial"/>
          <w:sz w:val="20"/>
          <w:szCs w:val="20"/>
        </w:rPr>
        <w:t>, оказыва</w:t>
      </w:r>
      <w:r w:rsidR="00AA07FD">
        <w:rPr>
          <w:rFonts w:ascii="Arial" w:hAnsi="Arial" w:cs="Arial"/>
          <w:sz w:val="20"/>
          <w:szCs w:val="20"/>
        </w:rPr>
        <w:t>я ему техн</w:t>
      </w:r>
      <w:r w:rsidR="009111A3">
        <w:rPr>
          <w:rFonts w:ascii="Arial" w:hAnsi="Arial" w:cs="Arial"/>
          <w:sz w:val="20"/>
          <w:szCs w:val="20"/>
        </w:rPr>
        <w:t>ическую и консультационную поддержку</w:t>
      </w:r>
      <w:r w:rsidR="00AA07FD">
        <w:rPr>
          <w:rFonts w:ascii="Arial" w:hAnsi="Arial" w:cs="Arial"/>
          <w:sz w:val="20"/>
          <w:szCs w:val="20"/>
        </w:rPr>
        <w:t>,</w:t>
      </w:r>
      <w:r w:rsidR="00271F89">
        <w:rPr>
          <w:rFonts w:ascii="Arial" w:hAnsi="Arial" w:cs="Arial"/>
          <w:sz w:val="20"/>
          <w:szCs w:val="20"/>
        </w:rPr>
        <w:t xml:space="preserve"> и к сегодняшнему дню большая часть этой страны освобождена от бандитов.</w:t>
      </w:r>
      <w:r w:rsidR="00E75ED1">
        <w:rPr>
          <w:rFonts w:ascii="Arial" w:hAnsi="Arial" w:cs="Arial"/>
          <w:sz w:val="20"/>
          <w:szCs w:val="20"/>
        </w:rPr>
        <w:t xml:space="preserve"> </w:t>
      </w:r>
      <w:r w:rsidR="008E221D">
        <w:rPr>
          <w:rFonts w:ascii="Arial" w:hAnsi="Arial" w:cs="Arial"/>
          <w:sz w:val="20"/>
          <w:szCs w:val="20"/>
        </w:rPr>
        <w:t xml:space="preserve">В наведении порядка также заинтересованы Иран и Турция. </w:t>
      </w:r>
      <w:r w:rsidR="00AA07FD">
        <w:rPr>
          <w:rFonts w:ascii="Arial" w:hAnsi="Arial" w:cs="Arial"/>
          <w:sz w:val="20"/>
          <w:szCs w:val="20"/>
        </w:rPr>
        <w:t>Однако</w:t>
      </w:r>
      <w:proofErr w:type="gramStart"/>
      <w:r w:rsidR="00AA07FD">
        <w:rPr>
          <w:rFonts w:ascii="Arial" w:hAnsi="Arial" w:cs="Arial"/>
          <w:sz w:val="20"/>
          <w:szCs w:val="20"/>
        </w:rPr>
        <w:t>,</w:t>
      </w:r>
      <w:proofErr w:type="gramEnd"/>
      <w:r w:rsidR="00AA07FD">
        <w:rPr>
          <w:rFonts w:ascii="Arial" w:hAnsi="Arial" w:cs="Arial"/>
          <w:sz w:val="20"/>
          <w:szCs w:val="20"/>
        </w:rPr>
        <w:t xml:space="preserve"> вхождение России в этот регион </w:t>
      </w:r>
      <w:r w:rsidR="008E221D">
        <w:rPr>
          <w:rFonts w:ascii="Arial" w:hAnsi="Arial" w:cs="Arial"/>
          <w:sz w:val="20"/>
          <w:szCs w:val="20"/>
        </w:rPr>
        <w:t xml:space="preserve">категорически </w:t>
      </w:r>
      <w:r w:rsidR="00AA07FD">
        <w:rPr>
          <w:rFonts w:ascii="Arial" w:hAnsi="Arial" w:cs="Arial"/>
          <w:sz w:val="20"/>
          <w:szCs w:val="20"/>
        </w:rPr>
        <w:t xml:space="preserve">не устраивает Соединённые Штаты и </w:t>
      </w:r>
      <w:r w:rsidR="00FE7720">
        <w:rPr>
          <w:rFonts w:ascii="Arial" w:hAnsi="Arial" w:cs="Arial"/>
          <w:sz w:val="20"/>
          <w:szCs w:val="20"/>
        </w:rPr>
        <w:t>28 июня</w:t>
      </w:r>
      <w:r w:rsidR="008E221D">
        <w:rPr>
          <w:rFonts w:ascii="Arial" w:hAnsi="Arial" w:cs="Arial"/>
          <w:sz w:val="20"/>
          <w:szCs w:val="20"/>
        </w:rPr>
        <w:t xml:space="preserve"> 2017 года</w:t>
      </w:r>
      <w:r w:rsidR="00FE7720">
        <w:rPr>
          <w:rFonts w:ascii="Arial" w:hAnsi="Arial" w:cs="Arial"/>
          <w:sz w:val="20"/>
          <w:szCs w:val="20"/>
        </w:rPr>
        <w:t xml:space="preserve"> </w:t>
      </w:r>
      <w:r w:rsidR="00AA07FD">
        <w:rPr>
          <w:rFonts w:ascii="Arial" w:hAnsi="Arial" w:cs="Arial"/>
          <w:sz w:val="20"/>
          <w:szCs w:val="20"/>
        </w:rPr>
        <w:t xml:space="preserve">они сосредоточили </w:t>
      </w:r>
      <w:r w:rsidR="00680879">
        <w:rPr>
          <w:rFonts w:ascii="Arial" w:hAnsi="Arial" w:cs="Arial"/>
          <w:sz w:val="20"/>
          <w:szCs w:val="20"/>
        </w:rPr>
        <w:t>военно-морск</w:t>
      </w:r>
      <w:r w:rsidR="00AA07FD">
        <w:rPr>
          <w:rFonts w:ascii="Arial" w:hAnsi="Arial" w:cs="Arial"/>
          <w:sz w:val="20"/>
          <w:szCs w:val="20"/>
        </w:rPr>
        <w:t>ую</w:t>
      </w:r>
      <w:r w:rsidR="00680879">
        <w:rPr>
          <w:rFonts w:ascii="Arial" w:hAnsi="Arial" w:cs="Arial"/>
          <w:sz w:val="20"/>
          <w:szCs w:val="20"/>
        </w:rPr>
        <w:t xml:space="preserve"> группировк</w:t>
      </w:r>
      <w:r w:rsidR="00AA07FD">
        <w:rPr>
          <w:rFonts w:ascii="Arial" w:hAnsi="Arial" w:cs="Arial"/>
          <w:sz w:val="20"/>
          <w:szCs w:val="20"/>
        </w:rPr>
        <w:t>у</w:t>
      </w:r>
      <w:r w:rsidR="002B0A96">
        <w:rPr>
          <w:rFonts w:ascii="Arial" w:hAnsi="Arial" w:cs="Arial"/>
          <w:sz w:val="20"/>
          <w:szCs w:val="20"/>
        </w:rPr>
        <w:t xml:space="preserve"> у берегов Сирии</w:t>
      </w:r>
      <w:r w:rsidR="008E221D">
        <w:rPr>
          <w:rFonts w:ascii="Arial" w:hAnsi="Arial" w:cs="Arial"/>
          <w:sz w:val="20"/>
          <w:szCs w:val="20"/>
        </w:rPr>
        <w:t>,</w:t>
      </w:r>
      <w:r w:rsidR="002B0A96">
        <w:rPr>
          <w:rFonts w:ascii="Arial" w:hAnsi="Arial" w:cs="Arial"/>
          <w:sz w:val="20"/>
          <w:szCs w:val="20"/>
        </w:rPr>
        <w:t xml:space="preserve"> угр</w:t>
      </w:r>
      <w:r w:rsidR="008E221D">
        <w:rPr>
          <w:rFonts w:ascii="Arial" w:hAnsi="Arial" w:cs="Arial"/>
          <w:sz w:val="20"/>
          <w:szCs w:val="20"/>
        </w:rPr>
        <w:t>ожая</w:t>
      </w:r>
      <w:r w:rsidR="002B0A96">
        <w:rPr>
          <w:rFonts w:ascii="Arial" w:hAnsi="Arial" w:cs="Arial"/>
          <w:sz w:val="20"/>
          <w:szCs w:val="20"/>
        </w:rPr>
        <w:t xml:space="preserve"> законному правительству этой страны нанести </w:t>
      </w:r>
      <w:r w:rsidR="008E221D">
        <w:rPr>
          <w:rFonts w:ascii="Arial" w:hAnsi="Arial" w:cs="Arial"/>
          <w:sz w:val="20"/>
          <w:szCs w:val="20"/>
        </w:rPr>
        <w:t xml:space="preserve">мощный </w:t>
      </w:r>
      <w:r w:rsidR="002B0A96">
        <w:rPr>
          <w:rFonts w:ascii="Arial" w:hAnsi="Arial" w:cs="Arial"/>
          <w:sz w:val="20"/>
          <w:szCs w:val="20"/>
        </w:rPr>
        <w:t>ракетный удар</w:t>
      </w:r>
      <w:r w:rsidR="002C49DB">
        <w:rPr>
          <w:rFonts w:ascii="Arial" w:hAnsi="Arial" w:cs="Arial"/>
          <w:sz w:val="20"/>
          <w:szCs w:val="20"/>
        </w:rPr>
        <w:t>.</w:t>
      </w:r>
    </w:p>
    <w:p w:rsidR="002C49DB" w:rsidRDefault="00EE198B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2C49DB">
        <w:rPr>
          <w:rFonts w:ascii="Arial" w:hAnsi="Arial" w:cs="Arial"/>
          <w:bCs/>
          <w:sz w:val="20"/>
          <w:szCs w:val="20"/>
        </w:rPr>
        <w:t xml:space="preserve"> - на Украине: </w:t>
      </w:r>
    </w:p>
    <w:p w:rsidR="002C49DB" w:rsidRDefault="00EE198B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812E3E">
        <w:rPr>
          <w:rFonts w:ascii="Arial" w:hAnsi="Arial" w:cs="Arial"/>
          <w:bCs/>
          <w:sz w:val="20"/>
          <w:szCs w:val="20"/>
        </w:rPr>
        <w:t>США</w:t>
      </w:r>
      <w:r w:rsidR="00C740F5" w:rsidRPr="00530E7B">
        <w:rPr>
          <w:rFonts w:ascii="Arial" w:hAnsi="Arial" w:cs="Arial"/>
          <w:bCs/>
          <w:sz w:val="20"/>
          <w:szCs w:val="20"/>
        </w:rPr>
        <w:t>, организовав майданную рев</w:t>
      </w:r>
      <w:r w:rsidR="00C740F5">
        <w:rPr>
          <w:rFonts w:ascii="Arial" w:hAnsi="Arial" w:cs="Arial"/>
          <w:bCs/>
          <w:sz w:val="20"/>
          <w:szCs w:val="20"/>
        </w:rPr>
        <w:t>олюцию и сместив законно</w:t>
      </w:r>
      <w:r w:rsidR="00657CBD">
        <w:rPr>
          <w:rFonts w:ascii="Arial" w:hAnsi="Arial" w:cs="Arial"/>
          <w:bCs/>
          <w:sz w:val="20"/>
          <w:szCs w:val="20"/>
        </w:rPr>
        <w:t>го президента и</w:t>
      </w:r>
      <w:r w:rsidR="00C740F5">
        <w:rPr>
          <w:rFonts w:ascii="Arial" w:hAnsi="Arial" w:cs="Arial"/>
          <w:bCs/>
          <w:sz w:val="20"/>
          <w:szCs w:val="20"/>
        </w:rPr>
        <w:t xml:space="preserve"> правительство</w:t>
      </w:r>
      <w:r w:rsidR="00657CBD" w:rsidRPr="00657CBD">
        <w:rPr>
          <w:rFonts w:ascii="Arial" w:hAnsi="Arial" w:cs="Arial"/>
          <w:bCs/>
          <w:sz w:val="20"/>
          <w:szCs w:val="20"/>
        </w:rPr>
        <w:t xml:space="preserve"> </w:t>
      </w:r>
      <w:r w:rsidR="00657CBD">
        <w:rPr>
          <w:rFonts w:ascii="Arial" w:hAnsi="Arial" w:cs="Arial"/>
          <w:bCs/>
          <w:sz w:val="20"/>
          <w:szCs w:val="20"/>
        </w:rPr>
        <w:t>Украины</w:t>
      </w:r>
      <w:r w:rsidR="00C740F5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в лице националистической верхушки </w:t>
      </w:r>
      <w:r w:rsidR="00657CBD">
        <w:rPr>
          <w:rFonts w:ascii="Arial" w:hAnsi="Arial" w:cs="Arial"/>
          <w:bCs/>
          <w:sz w:val="20"/>
          <w:szCs w:val="20"/>
        </w:rPr>
        <w:t>фактически</w:t>
      </w:r>
      <w:r w:rsidR="00C740F5" w:rsidRPr="00530E7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создали форпост для продвижения своих политических и экономических интересов в регионе, соединяющем Россию и Западную Европу</w:t>
      </w:r>
      <w:proofErr w:type="gramStart"/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Блокиру</w:t>
      </w:r>
      <w:r w:rsidR="002B0CDD">
        <w:rPr>
          <w:rFonts w:ascii="Arial" w:hAnsi="Arial" w:cs="Arial"/>
          <w:bCs/>
          <w:sz w:val="20"/>
          <w:szCs w:val="20"/>
        </w:rPr>
        <w:t>ется</w:t>
      </w:r>
      <w:r w:rsidR="00C740F5">
        <w:rPr>
          <w:rFonts w:ascii="Arial" w:hAnsi="Arial" w:cs="Arial"/>
          <w:bCs/>
          <w:sz w:val="20"/>
          <w:szCs w:val="20"/>
        </w:rPr>
        <w:t xml:space="preserve"> транзит</w:t>
      </w:r>
      <w:r w:rsidR="002B0CDD">
        <w:rPr>
          <w:rFonts w:ascii="Arial" w:hAnsi="Arial" w:cs="Arial"/>
          <w:bCs/>
          <w:sz w:val="20"/>
          <w:szCs w:val="20"/>
        </w:rPr>
        <w:t xml:space="preserve"> российских</w:t>
      </w:r>
      <w:r w:rsidR="00C740F5">
        <w:rPr>
          <w:rFonts w:ascii="Arial" w:hAnsi="Arial" w:cs="Arial"/>
          <w:bCs/>
          <w:sz w:val="20"/>
          <w:szCs w:val="20"/>
        </w:rPr>
        <w:t xml:space="preserve"> </w:t>
      </w:r>
      <w:r w:rsidR="002B0CDD">
        <w:rPr>
          <w:rFonts w:ascii="Arial" w:hAnsi="Arial" w:cs="Arial"/>
          <w:bCs/>
          <w:sz w:val="20"/>
          <w:szCs w:val="20"/>
        </w:rPr>
        <w:t>товаров, трубопроводная транспортная система, искусственно</w:t>
      </w:r>
      <w:r w:rsidR="00657CBD">
        <w:rPr>
          <w:rFonts w:ascii="Arial" w:hAnsi="Arial" w:cs="Arial"/>
          <w:bCs/>
          <w:sz w:val="20"/>
          <w:szCs w:val="20"/>
        </w:rPr>
        <w:t xml:space="preserve"> </w:t>
      </w:r>
      <w:r w:rsidR="002B0CDD">
        <w:rPr>
          <w:rFonts w:ascii="Arial" w:hAnsi="Arial" w:cs="Arial"/>
          <w:bCs/>
          <w:sz w:val="20"/>
          <w:szCs w:val="20"/>
        </w:rPr>
        <w:t>создаются препятствия</w:t>
      </w:r>
      <w:r w:rsidR="00C740F5" w:rsidRPr="00530E7B">
        <w:rPr>
          <w:rFonts w:ascii="Arial" w:hAnsi="Arial" w:cs="Arial"/>
          <w:bCs/>
          <w:sz w:val="20"/>
          <w:szCs w:val="20"/>
        </w:rPr>
        <w:t xml:space="preserve"> развитию российской газотранспортной сети</w:t>
      </w:r>
      <w:r w:rsidR="00657CBD">
        <w:rPr>
          <w:rFonts w:ascii="Arial" w:hAnsi="Arial" w:cs="Arial"/>
          <w:bCs/>
          <w:sz w:val="20"/>
          <w:szCs w:val="20"/>
        </w:rPr>
        <w:t xml:space="preserve"> через Балтийское и Чёрное моря</w:t>
      </w:r>
      <w:r w:rsidR="002B0CDD">
        <w:rPr>
          <w:rFonts w:ascii="Arial" w:hAnsi="Arial" w:cs="Arial"/>
          <w:bCs/>
          <w:sz w:val="20"/>
          <w:szCs w:val="20"/>
        </w:rPr>
        <w:t>, разрываются экономические связи Украины и России, разоряется промышленность.</w:t>
      </w:r>
      <w:r w:rsidR="00C740F5">
        <w:rPr>
          <w:rFonts w:ascii="Arial" w:hAnsi="Arial" w:cs="Arial"/>
          <w:sz w:val="20"/>
          <w:szCs w:val="20"/>
        </w:rPr>
        <w:t xml:space="preserve"> </w:t>
      </w:r>
    </w:p>
    <w:p w:rsidR="002C49DB" w:rsidRDefault="00812E3E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C49DB">
        <w:rPr>
          <w:rFonts w:ascii="Arial" w:hAnsi="Arial" w:cs="Arial"/>
          <w:sz w:val="20"/>
          <w:szCs w:val="20"/>
        </w:rPr>
        <w:t xml:space="preserve"> - в Европе:</w:t>
      </w:r>
    </w:p>
    <w:p w:rsidR="002C49DB" w:rsidRDefault="00811B1C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C49DB">
        <w:rPr>
          <w:rFonts w:ascii="Arial" w:hAnsi="Arial" w:cs="Arial"/>
          <w:sz w:val="20"/>
          <w:szCs w:val="20"/>
        </w:rPr>
        <w:t>Всячески вытесняя Россию с рынка Европы, США продавливают контракты на поставку своего СП</w:t>
      </w:r>
      <w:proofErr w:type="gramStart"/>
      <w:r w:rsidR="002C49DB">
        <w:rPr>
          <w:rFonts w:ascii="Arial" w:hAnsi="Arial" w:cs="Arial"/>
          <w:sz w:val="20"/>
          <w:szCs w:val="20"/>
        </w:rPr>
        <w:t>Г-</w:t>
      </w:r>
      <w:proofErr w:type="gramEnd"/>
      <w:r w:rsidR="002C49DB">
        <w:rPr>
          <w:rFonts w:ascii="Arial" w:hAnsi="Arial" w:cs="Arial"/>
          <w:sz w:val="20"/>
          <w:szCs w:val="20"/>
        </w:rPr>
        <w:t xml:space="preserve"> газа.</w:t>
      </w:r>
    </w:p>
    <w:p w:rsidR="00CC38B7" w:rsidRDefault="007E57BA" w:rsidP="00EE198B">
      <w:pPr>
        <w:pStyle w:val="a3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53B3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 </w:t>
      </w:r>
      <w:r w:rsidR="00CC38B7">
        <w:rPr>
          <w:rFonts w:ascii="Arial" w:hAnsi="Arial" w:cs="Arial"/>
          <w:sz w:val="20"/>
          <w:szCs w:val="20"/>
        </w:rPr>
        <w:t>на рынке нефти:</w:t>
      </w:r>
    </w:p>
    <w:p w:rsidR="00812E3E" w:rsidRPr="00812E3E" w:rsidRDefault="002B0CDD" w:rsidP="00EE198B">
      <w:pPr>
        <w:pStyle w:val="a3"/>
        <w:spacing w:line="240" w:lineRule="auto"/>
        <w:ind w:left="426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C38B7">
        <w:rPr>
          <w:rFonts w:ascii="Arial" w:hAnsi="Arial" w:cs="Arial"/>
          <w:sz w:val="20"/>
          <w:szCs w:val="20"/>
        </w:rPr>
        <w:t>О</w:t>
      </w:r>
      <w:r w:rsidR="002505FC">
        <w:rPr>
          <w:rFonts w:ascii="Arial" w:hAnsi="Arial" w:cs="Arial"/>
          <w:sz w:val="20"/>
          <w:szCs w:val="20"/>
        </w:rPr>
        <w:t xml:space="preserve">брушение </w:t>
      </w:r>
      <w:r w:rsidR="00530E7B">
        <w:rPr>
          <w:rFonts w:ascii="Arial" w:hAnsi="Arial" w:cs="Arial"/>
          <w:sz w:val="20"/>
          <w:szCs w:val="20"/>
        </w:rPr>
        <w:t xml:space="preserve">мировых </w:t>
      </w:r>
      <w:r w:rsidR="002505FC">
        <w:rPr>
          <w:rFonts w:ascii="Arial" w:hAnsi="Arial" w:cs="Arial"/>
          <w:sz w:val="20"/>
          <w:szCs w:val="20"/>
        </w:rPr>
        <w:t>цен нефт</w:t>
      </w:r>
      <w:r w:rsidR="00530E7B">
        <w:rPr>
          <w:rFonts w:ascii="Arial" w:hAnsi="Arial" w:cs="Arial"/>
          <w:sz w:val="20"/>
          <w:szCs w:val="20"/>
        </w:rPr>
        <w:t xml:space="preserve">и с 116 до 25 долл.США/барр. </w:t>
      </w:r>
      <w:r w:rsidR="005E44AF">
        <w:rPr>
          <w:rFonts w:ascii="Arial" w:hAnsi="Arial" w:cs="Arial"/>
          <w:sz w:val="20"/>
          <w:szCs w:val="20"/>
        </w:rPr>
        <w:t>(</w:t>
      </w:r>
      <w:r w:rsidR="00053B35">
        <w:rPr>
          <w:rFonts w:ascii="Arial" w:hAnsi="Arial" w:cs="Arial"/>
          <w:sz w:val="20"/>
          <w:szCs w:val="20"/>
        </w:rPr>
        <w:t xml:space="preserve">последовавшее после «майдана», донецких и крымских событий 2014 года), вызванное </w:t>
      </w:r>
      <w:r w:rsidR="002505FC">
        <w:rPr>
          <w:rFonts w:ascii="Arial" w:hAnsi="Arial" w:cs="Arial"/>
          <w:sz w:val="20"/>
          <w:szCs w:val="20"/>
        </w:rPr>
        <w:t xml:space="preserve">резким наращиванием </w:t>
      </w:r>
      <w:r w:rsidR="00053B35">
        <w:rPr>
          <w:rFonts w:ascii="Arial" w:hAnsi="Arial" w:cs="Arial"/>
          <w:sz w:val="20"/>
          <w:szCs w:val="20"/>
        </w:rPr>
        <w:t>США добычи сланцевой нефти</w:t>
      </w:r>
      <w:r w:rsidR="00EF490C">
        <w:rPr>
          <w:rFonts w:ascii="Arial" w:hAnsi="Arial" w:cs="Arial"/>
          <w:sz w:val="20"/>
          <w:szCs w:val="20"/>
        </w:rPr>
        <w:t>, несмотря на убыточность этого направления и</w:t>
      </w:r>
      <w:r w:rsidR="00791FC4">
        <w:rPr>
          <w:rFonts w:ascii="Arial" w:hAnsi="Arial" w:cs="Arial"/>
          <w:sz w:val="20"/>
          <w:szCs w:val="20"/>
        </w:rPr>
        <w:t xml:space="preserve"> </w:t>
      </w:r>
      <w:r w:rsidR="00E50EEB">
        <w:rPr>
          <w:rFonts w:ascii="Arial" w:hAnsi="Arial" w:cs="Arial"/>
          <w:sz w:val="20"/>
          <w:szCs w:val="20"/>
        </w:rPr>
        <w:t xml:space="preserve">необратимый </w:t>
      </w:r>
      <w:r w:rsidR="00EF490C">
        <w:rPr>
          <w:rFonts w:ascii="Arial" w:hAnsi="Arial" w:cs="Arial"/>
          <w:sz w:val="20"/>
          <w:szCs w:val="20"/>
        </w:rPr>
        <w:t>ущерб собственной экосистеме.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</w:t>
      </w:r>
      <w:r w:rsidR="00530E7B" w:rsidRPr="00530E7B">
        <w:rPr>
          <w:rFonts w:ascii="Arial" w:hAnsi="Arial" w:cs="Arial"/>
          <w:bCs/>
          <w:sz w:val="20"/>
          <w:szCs w:val="20"/>
        </w:rPr>
        <w:t xml:space="preserve">Принятое основными нефтедобывающими странами в декабре 2016 года соглашение о сокращении </w:t>
      </w:r>
      <w:r w:rsidR="00530E7B" w:rsidRPr="00530E7B">
        <w:rPr>
          <w:rFonts w:ascii="Arial" w:hAnsi="Arial" w:cs="Arial"/>
          <w:bCs/>
          <w:sz w:val="20"/>
          <w:szCs w:val="20"/>
        </w:rPr>
        <w:lastRenderedPageBreak/>
        <w:t xml:space="preserve">добычи нефти стабилизировало цены на уровне 50-56 долл.США/барр., но США, не присоединившиеся к этому соглашению, воспользовались ситуацией и увеличили добычу сланцевой нефти, что опять потянуло цены ниже 50 </w:t>
      </w:r>
      <w:proofErr w:type="spellStart"/>
      <w:proofErr w:type="gramStart"/>
      <w:r w:rsidR="00530E7B" w:rsidRPr="00530E7B">
        <w:rPr>
          <w:rFonts w:ascii="Arial" w:hAnsi="Arial" w:cs="Arial"/>
          <w:bCs/>
          <w:sz w:val="20"/>
          <w:szCs w:val="20"/>
        </w:rPr>
        <w:t>долл</w:t>
      </w:r>
      <w:proofErr w:type="spellEnd"/>
      <w:proofErr w:type="gramEnd"/>
      <w:r w:rsidR="00530E7B" w:rsidRPr="00530E7B">
        <w:rPr>
          <w:rFonts w:ascii="Arial" w:hAnsi="Arial" w:cs="Arial"/>
          <w:bCs/>
          <w:sz w:val="20"/>
          <w:szCs w:val="20"/>
        </w:rPr>
        <w:t xml:space="preserve">/баррель. </w:t>
      </w:r>
      <w:r w:rsidR="00B96E5B">
        <w:rPr>
          <w:rFonts w:ascii="Arial" w:hAnsi="Arial" w:cs="Arial"/>
          <w:bCs/>
          <w:sz w:val="20"/>
          <w:szCs w:val="20"/>
        </w:rPr>
        <w:t xml:space="preserve">1 июня президент США </w:t>
      </w:r>
      <w:r w:rsidR="00BD7271">
        <w:rPr>
          <w:rFonts w:ascii="Arial" w:hAnsi="Arial" w:cs="Arial"/>
          <w:bCs/>
          <w:sz w:val="20"/>
          <w:szCs w:val="20"/>
        </w:rPr>
        <w:t>Д.</w:t>
      </w:r>
      <w:r w:rsidR="00B53CCD">
        <w:rPr>
          <w:rFonts w:ascii="Arial" w:hAnsi="Arial" w:cs="Arial"/>
          <w:bCs/>
          <w:sz w:val="20"/>
          <w:szCs w:val="20"/>
        </w:rPr>
        <w:t xml:space="preserve"> Трамп </w:t>
      </w:r>
      <w:r w:rsidR="00B96E5B">
        <w:rPr>
          <w:rFonts w:ascii="Arial" w:hAnsi="Arial" w:cs="Arial"/>
          <w:bCs/>
          <w:sz w:val="20"/>
          <w:szCs w:val="20"/>
        </w:rPr>
        <w:t>подписа</w:t>
      </w:r>
      <w:r w:rsidR="00B53CCD">
        <w:rPr>
          <w:rFonts w:ascii="Arial" w:hAnsi="Arial" w:cs="Arial"/>
          <w:bCs/>
          <w:sz w:val="20"/>
          <w:szCs w:val="20"/>
        </w:rPr>
        <w:t>л</w:t>
      </w:r>
      <w:r w:rsidR="00B96E5B">
        <w:rPr>
          <w:rFonts w:ascii="Arial" w:hAnsi="Arial" w:cs="Arial"/>
          <w:bCs/>
          <w:sz w:val="20"/>
          <w:szCs w:val="20"/>
        </w:rPr>
        <w:t xml:space="preserve"> указ о выходе из Парижского соглашения по климату, открывающий дорогу развитию</w:t>
      </w:r>
      <w:r w:rsidR="00B96E5B" w:rsidRPr="00B96E5B">
        <w:rPr>
          <w:rFonts w:ascii="PT Sans" w:hAnsi="PT Sans"/>
          <w:color w:val="000000"/>
          <w:shd w:val="clear" w:color="auto" w:fill="FFFFFF"/>
        </w:rPr>
        <w:t xml:space="preserve"> </w:t>
      </w:r>
      <w:r w:rsidR="00B96E5B" w:rsidRPr="00B96E5B">
        <w:rPr>
          <w:rFonts w:ascii="Arial" w:hAnsi="Arial" w:cs="Arial"/>
          <w:bCs/>
          <w:sz w:val="20"/>
          <w:szCs w:val="20"/>
        </w:rPr>
        <w:t>сланцев</w:t>
      </w:r>
      <w:r w:rsidR="00B96E5B">
        <w:rPr>
          <w:rFonts w:ascii="Arial" w:hAnsi="Arial" w:cs="Arial"/>
          <w:bCs/>
          <w:sz w:val="20"/>
          <w:szCs w:val="20"/>
        </w:rPr>
        <w:t>ой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</w:t>
      </w:r>
      <w:r w:rsidR="00B96E5B">
        <w:rPr>
          <w:rFonts w:ascii="Arial" w:hAnsi="Arial" w:cs="Arial"/>
          <w:bCs/>
          <w:sz w:val="20"/>
          <w:szCs w:val="20"/>
        </w:rPr>
        <w:t xml:space="preserve">и </w:t>
      </w:r>
      <w:r w:rsidR="00B96E5B" w:rsidRPr="00B96E5B">
        <w:rPr>
          <w:rFonts w:ascii="Arial" w:hAnsi="Arial" w:cs="Arial"/>
          <w:bCs/>
          <w:sz w:val="20"/>
          <w:szCs w:val="20"/>
        </w:rPr>
        <w:t>угольн</w:t>
      </w:r>
      <w:r w:rsidR="00B96E5B">
        <w:rPr>
          <w:rFonts w:ascii="Arial" w:hAnsi="Arial" w:cs="Arial"/>
          <w:bCs/>
          <w:sz w:val="20"/>
          <w:szCs w:val="20"/>
        </w:rPr>
        <w:t>ой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энергетик</w:t>
      </w:r>
      <w:r w:rsidR="00B53CCD">
        <w:rPr>
          <w:rFonts w:ascii="Arial" w:hAnsi="Arial" w:cs="Arial"/>
          <w:bCs/>
          <w:sz w:val="20"/>
          <w:szCs w:val="20"/>
        </w:rPr>
        <w:t>е</w:t>
      </w:r>
      <w:r w:rsidR="00D9109C">
        <w:rPr>
          <w:rFonts w:ascii="Arial" w:hAnsi="Arial" w:cs="Arial"/>
          <w:bCs/>
          <w:sz w:val="20"/>
          <w:szCs w:val="20"/>
        </w:rPr>
        <w:t xml:space="preserve"> в ущерб собственной стране</w:t>
      </w:r>
      <w:r w:rsidR="00B53CCD">
        <w:rPr>
          <w:rFonts w:ascii="Arial" w:hAnsi="Arial" w:cs="Arial"/>
          <w:bCs/>
          <w:sz w:val="20"/>
          <w:szCs w:val="20"/>
        </w:rPr>
        <w:t>, а 29 июня объявил о</w:t>
      </w:r>
      <w:r w:rsidR="009D0AC1">
        <w:rPr>
          <w:rFonts w:ascii="Arial" w:hAnsi="Arial" w:cs="Arial"/>
          <w:bCs/>
          <w:sz w:val="20"/>
          <w:szCs w:val="20"/>
        </w:rPr>
        <w:t xml:space="preserve"> планах</w:t>
      </w:r>
      <w:r w:rsidR="00B53CCD">
        <w:rPr>
          <w:rFonts w:ascii="Arial" w:hAnsi="Arial" w:cs="Arial"/>
          <w:bCs/>
          <w:sz w:val="20"/>
          <w:szCs w:val="20"/>
        </w:rPr>
        <w:t xml:space="preserve"> американско</w:t>
      </w:r>
      <w:r w:rsidR="009D0AC1">
        <w:rPr>
          <w:rFonts w:ascii="Arial" w:hAnsi="Arial" w:cs="Arial"/>
          <w:bCs/>
          <w:sz w:val="20"/>
          <w:szCs w:val="20"/>
        </w:rPr>
        <w:t>го</w:t>
      </w:r>
      <w:r w:rsidR="00B53CCD">
        <w:rPr>
          <w:rFonts w:ascii="Arial" w:hAnsi="Arial" w:cs="Arial"/>
          <w:bCs/>
          <w:sz w:val="20"/>
          <w:szCs w:val="20"/>
        </w:rPr>
        <w:t xml:space="preserve"> доминировани</w:t>
      </w:r>
      <w:r w:rsidR="009D0AC1">
        <w:rPr>
          <w:rFonts w:ascii="Arial" w:hAnsi="Arial" w:cs="Arial"/>
          <w:bCs/>
          <w:sz w:val="20"/>
          <w:szCs w:val="20"/>
        </w:rPr>
        <w:t>я</w:t>
      </w:r>
      <w:r w:rsidR="00B53CCD">
        <w:rPr>
          <w:rFonts w:ascii="Arial" w:hAnsi="Arial" w:cs="Arial"/>
          <w:bCs/>
          <w:sz w:val="20"/>
          <w:szCs w:val="20"/>
        </w:rPr>
        <w:t xml:space="preserve"> на энергетических рынках.</w:t>
      </w:r>
      <w:r w:rsidR="00832695">
        <w:rPr>
          <w:rFonts w:ascii="Arial" w:hAnsi="Arial" w:cs="Arial"/>
          <w:bCs/>
          <w:sz w:val="20"/>
          <w:szCs w:val="20"/>
        </w:rPr>
        <w:t xml:space="preserve"> Но, как представляется, это</w:t>
      </w:r>
      <w:r w:rsidR="009D0AC1">
        <w:rPr>
          <w:rFonts w:ascii="Arial" w:hAnsi="Arial" w:cs="Arial"/>
          <w:bCs/>
          <w:sz w:val="20"/>
          <w:szCs w:val="20"/>
        </w:rPr>
        <w:t xml:space="preserve"> возможно только в </w:t>
      </w:r>
      <w:r w:rsidR="00811B1C">
        <w:rPr>
          <w:rFonts w:ascii="Arial" w:hAnsi="Arial" w:cs="Arial"/>
          <w:bCs/>
          <w:sz w:val="20"/>
          <w:szCs w:val="20"/>
        </w:rPr>
        <w:t>связке с</w:t>
      </w:r>
      <w:r w:rsidR="009D0AC1">
        <w:rPr>
          <w:rFonts w:ascii="Arial" w:hAnsi="Arial" w:cs="Arial"/>
          <w:bCs/>
          <w:sz w:val="20"/>
          <w:szCs w:val="20"/>
        </w:rPr>
        <w:t xml:space="preserve"> миров</w:t>
      </w:r>
      <w:r w:rsidR="00811B1C">
        <w:rPr>
          <w:rFonts w:ascii="Arial" w:hAnsi="Arial" w:cs="Arial"/>
          <w:bCs/>
          <w:sz w:val="20"/>
          <w:szCs w:val="20"/>
        </w:rPr>
        <w:t>ым</w:t>
      </w:r>
      <w:r w:rsidR="009D0AC1">
        <w:rPr>
          <w:rFonts w:ascii="Arial" w:hAnsi="Arial" w:cs="Arial"/>
          <w:bCs/>
          <w:sz w:val="20"/>
          <w:szCs w:val="20"/>
        </w:rPr>
        <w:t xml:space="preserve"> доминировани</w:t>
      </w:r>
      <w:r w:rsidR="00811B1C">
        <w:rPr>
          <w:rFonts w:ascii="Arial" w:hAnsi="Arial" w:cs="Arial"/>
          <w:bCs/>
          <w:sz w:val="20"/>
          <w:szCs w:val="20"/>
        </w:rPr>
        <w:t>ем</w:t>
      </w:r>
      <w:r w:rsidR="009D0AC1">
        <w:rPr>
          <w:rFonts w:ascii="Arial" w:hAnsi="Arial" w:cs="Arial"/>
          <w:bCs/>
          <w:sz w:val="20"/>
          <w:szCs w:val="20"/>
        </w:rPr>
        <w:t xml:space="preserve"> американского доллара</w:t>
      </w:r>
      <w:r w:rsidR="00A74B16">
        <w:rPr>
          <w:rFonts w:ascii="Arial" w:hAnsi="Arial" w:cs="Arial"/>
          <w:bCs/>
          <w:sz w:val="20"/>
          <w:szCs w:val="20"/>
        </w:rPr>
        <w:t xml:space="preserve">, ведь </w:t>
      </w:r>
      <w:r w:rsidR="009D0AC1">
        <w:rPr>
          <w:rFonts w:ascii="Arial" w:hAnsi="Arial" w:cs="Arial"/>
          <w:bCs/>
          <w:sz w:val="20"/>
          <w:szCs w:val="20"/>
        </w:rPr>
        <w:t>сланцевая нефте</w:t>
      </w:r>
      <w:r w:rsidR="00811B1C">
        <w:rPr>
          <w:rFonts w:ascii="Arial" w:hAnsi="Arial" w:cs="Arial"/>
          <w:bCs/>
          <w:sz w:val="20"/>
          <w:szCs w:val="20"/>
        </w:rPr>
        <w:t>- и газо</w:t>
      </w:r>
      <w:r w:rsidR="009D0AC1">
        <w:rPr>
          <w:rFonts w:ascii="Arial" w:hAnsi="Arial" w:cs="Arial"/>
          <w:bCs/>
          <w:sz w:val="20"/>
          <w:szCs w:val="20"/>
        </w:rPr>
        <w:t xml:space="preserve">добыча </w:t>
      </w:r>
      <w:r w:rsidR="008E3327">
        <w:rPr>
          <w:rFonts w:ascii="Arial" w:hAnsi="Arial" w:cs="Arial"/>
          <w:bCs/>
          <w:sz w:val="20"/>
          <w:szCs w:val="20"/>
        </w:rPr>
        <w:t xml:space="preserve">низкорентабельны </w:t>
      </w:r>
      <w:r w:rsidR="00C174BC">
        <w:rPr>
          <w:rFonts w:ascii="Arial" w:hAnsi="Arial" w:cs="Arial"/>
          <w:bCs/>
          <w:sz w:val="20"/>
          <w:szCs w:val="20"/>
        </w:rPr>
        <w:t xml:space="preserve">(по сравнению с традиционным природным газом) </w:t>
      </w:r>
      <w:r w:rsidR="008E3327">
        <w:rPr>
          <w:rFonts w:ascii="Arial" w:hAnsi="Arial" w:cs="Arial"/>
          <w:bCs/>
          <w:sz w:val="20"/>
          <w:szCs w:val="20"/>
        </w:rPr>
        <w:t xml:space="preserve">и </w:t>
      </w:r>
      <w:r w:rsidR="004271D0">
        <w:rPr>
          <w:rFonts w:ascii="Arial" w:hAnsi="Arial" w:cs="Arial"/>
          <w:bCs/>
          <w:sz w:val="20"/>
          <w:szCs w:val="20"/>
        </w:rPr>
        <w:t>поддержива</w:t>
      </w:r>
      <w:r w:rsidR="00811B1C">
        <w:rPr>
          <w:rFonts w:ascii="Arial" w:hAnsi="Arial" w:cs="Arial"/>
          <w:bCs/>
          <w:sz w:val="20"/>
          <w:szCs w:val="20"/>
        </w:rPr>
        <w:t>ю</w:t>
      </w:r>
      <w:r w:rsidR="004271D0">
        <w:rPr>
          <w:rFonts w:ascii="Arial" w:hAnsi="Arial" w:cs="Arial"/>
          <w:bCs/>
          <w:sz w:val="20"/>
          <w:szCs w:val="20"/>
        </w:rPr>
        <w:t>тся</w:t>
      </w:r>
      <w:r w:rsidR="00811B1C">
        <w:rPr>
          <w:rFonts w:ascii="Arial" w:hAnsi="Arial" w:cs="Arial"/>
          <w:bCs/>
          <w:sz w:val="20"/>
          <w:szCs w:val="20"/>
        </w:rPr>
        <w:t xml:space="preserve"> </w:t>
      </w:r>
      <w:r w:rsidR="00301A2F">
        <w:rPr>
          <w:rFonts w:ascii="Arial" w:hAnsi="Arial" w:cs="Arial"/>
          <w:bCs/>
          <w:sz w:val="20"/>
          <w:szCs w:val="20"/>
        </w:rPr>
        <w:t>исключительно кредитами</w:t>
      </w:r>
      <w:r w:rsidR="00C174BC">
        <w:rPr>
          <w:rFonts w:ascii="Arial" w:hAnsi="Arial" w:cs="Arial"/>
          <w:bCs/>
          <w:sz w:val="20"/>
          <w:szCs w:val="20"/>
        </w:rPr>
        <w:t>. Кроме того, с</w:t>
      </w:r>
      <w:r w:rsidR="00301A2F">
        <w:rPr>
          <w:rFonts w:ascii="Arial" w:hAnsi="Arial" w:cs="Arial"/>
          <w:bCs/>
          <w:sz w:val="20"/>
          <w:szCs w:val="20"/>
        </w:rPr>
        <w:t xml:space="preserve">аммит </w:t>
      </w:r>
      <w:r w:rsidR="00301A2F">
        <w:rPr>
          <w:rFonts w:ascii="Arial" w:hAnsi="Arial" w:cs="Arial"/>
          <w:bCs/>
          <w:sz w:val="20"/>
          <w:szCs w:val="20"/>
          <w:lang w:val="en-US"/>
        </w:rPr>
        <w:t>G</w:t>
      </w:r>
      <w:r w:rsidR="00301A2F" w:rsidRPr="00301A2F">
        <w:rPr>
          <w:rFonts w:ascii="Arial" w:hAnsi="Arial" w:cs="Arial"/>
          <w:bCs/>
          <w:sz w:val="20"/>
          <w:szCs w:val="20"/>
        </w:rPr>
        <w:t xml:space="preserve">20 </w:t>
      </w:r>
      <w:r w:rsidR="00301A2F">
        <w:rPr>
          <w:rFonts w:ascii="Arial" w:hAnsi="Arial" w:cs="Arial"/>
          <w:bCs/>
          <w:sz w:val="20"/>
          <w:szCs w:val="20"/>
        </w:rPr>
        <w:t xml:space="preserve">в Гамбурге 7-8 июля </w:t>
      </w:r>
      <w:proofErr w:type="spellStart"/>
      <w:r w:rsidR="00301A2F">
        <w:rPr>
          <w:rFonts w:ascii="Arial" w:hAnsi="Arial" w:cs="Arial"/>
          <w:bCs/>
          <w:sz w:val="20"/>
          <w:szCs w:val="20"/>
        </w:rPr>
        <w:t>т.г</w:t>
      </w:r>
      <w:proofErr w:type="spellEnd"/>
      <w:r w:rsidR="00301A2F">
        <w:rPr>
          <w:rFonts w:ascii="Arial" w:hAnsi="Arial" w:cs="Arial"/>
          <w:bCs/>
          <w:sz w:val="20"/>
          <w:szCs w:val="20"/>
        </w:rPr>
        <w:t>. п</w:t>
      </w:r>
      <w:r w:rsidR="00A74B16">
        <w:rPr>
          <w:rFonts w:ascii="Arial" w:hAnsi="Arial" w:cs="Arial"/>
          <w:bCs/>
          <w:sz w:val="20"/>
          <w:szCs w:val="20"/>
        </w:rPr>
        <w:t>родемонстрировал окончание абсолютного влияния США</w:t>
      </w:r>
      <w:r w:rsidR="00C174BC">
        <w:rPr>
          <w:rFonts w:ascii="Arial" w:hAnsi="Arial" w:cs="Arial"/>
          <w:bCs/>
          <w:sz w:val="20"/>
          <w:szCs w:val="20"/>
        </w:rPr>
        <w:t xml:space="preserve"> на мировую экономику:</w:t>
      </w:r>
      <w:r w:rsidR="002D2333">
        <w:rPr>
          <w:rFonts w:ascii="Arial" w:hAnsi="Arial" w:cs="Arial"/>
          <w:bCs/>
          <w:sz w:val="20"/>
          <w:szCs w:val="20"/>
        </w:rPr>
        <w:t xml:space="preserve"> развивается </w:t>
      </w:r>
      <w:r w:rsidR="00C174BC">
        <w:rPr>
          <w:rFonts w:ascii="Arial" w:hAnsi="Arial" w:cs="Arial"/>
          <w:bCs/>
          <w:sz w:val="20"/>
          <w:szCs w:val="20"/>
        </w:rPr>
        <w:t>экономическое и политическое взаимодействие с Россией Китая, Индии</w:t>
      </w:r>
      <w:r w:rsidR="002D2333">
        <w:rPr>
          <w:rFonts w:ascii="Arial" w:hAnsi="Arial" w:cs="Arial"/>
          <w:bCs/>
          <w:sz w:val="20"/>
          <w:szCs w:val="20"/>
        </w:rPr>
        <w:t>, Бразилии, Японии, Турции,</w:t>
      </w:r>
      <w:r w:rsidR="002D2333" w:rsidRPr="002D2333">
        <w:rPr>
          <w:rFonts w:ascii="Arial" w:hAnsi="Arial" w:cs="Arial"/>
          <w:bCs/>
          <w:sz w:val="20"/>
          <w:szCs w:val="20"/>
        </w:rPr>
        <w:t xml:space="preserve"> </w:t>
      </w:r>
      <w:r w:rsidR="002D2333">
        <w:rPr>
          <w:rFonts w:ascii="Arial" w:hAnsi="Arial" w:cs="Arial"/>
          <w:bCs/>
          <w:sz w:val="20"/>
          <w:szCs w:val="20"/>
        </w:rPr>
        <w:t xml:space="preserve">Кореи; озвучивает свою независимую от США экономическую политику </w:t>
      </w:r>
      <w:r w:rsidR="00243176">
        <w:rPr>
          <w:rFonts w:ascii="Arial" w:hAnsi="Arial" w:cs="Arial"/>
          <w:bCs/>
          <w:sz w:val="20"/>
          <w:szCs w:val="20"/>
        </w:rPr>
        <w:t xml:space="preserve">канцлер </w:t>
      </w:r>
      <w:r w:rsidR="002D2333">
        <w:rPr>
          <w:rFonts w:ascii="Arial" w:hAnsi="Arial" w:cs="Arial"/>
          <w:bCs/>
          <w:sz w:val="20"/>
          <w:szCs w:val="20"/>
        </w:rPr>
        <w:t>Германи</w:t>
      </w:r>
      <w:r w:rsidR="00243176">
        <w:rPr>
          <w:rFonts w:ascii="Arial" w:hAnsi="Arial" w:cs="Arial"/>
          <w:bCs/>
          <w:sz w:val="20"/>
          <w:szCs w:val="20"/>
        </w:rPr>
        <w:t>и</w:t>
      </w:r>
      <w:r w:rsidR="002D2333">
        <w:rPr>
          <w:rFonts w:ascii="Arial" w:hAnsi="Arial" w:cs="Arial"/>
          <w:bCs/>
          <w:sz w:val="20"/>
          <w:szCs w:val="20"/>
        </w:rPr>
        <w:t xml:space="preserve">. </w:t>
      </w:r>
      <w:r w:rsidR="00B5042C">
        <w:rPr>
          <w:rFonts w:ascii="Arial" w:hAnsi="Arial" w:cs="Arial"/>
          <w:bCs/>
          <w:sz w:val="20"/>
          <w:szCs w:val="20"/>
        </w:rPr>
        <w:t xml:space="preserve">В любом случае, </w:t>
      </w:r>
      <w:r w:rsidR="00C174BC">
        <w:rPr>
          <w:rFonts w:ascii="Arial" w:hAnsi="Arial" w:cs="Arial"/>
          <w:bCs/>
          <w:sz w:val="20"/>
          <w:szCs w:val="20"/>
        </w:rPr>
        <w:t xml:space="preserve">учитывая </w:t>
      </w:r>
      <w:r w:rsidR="00243176">
        <w:rPr>
          <w:rFonts w:ascii="Arial" w:hAnsi="Arial" w:cs="Arial"/>
          <w:bCs/>
          <w:sz w:val="20"/>
          <w:szCs w:val="20"/>
        </w:rPr>
        <w:t xml:space="preserve">огромные </w:t>
      </w:r>
      <w:r w:rsidR="00C174BC">
        <w:rPr>
          <w:rFonts w:ascii="Arial" w:hAnsi="Arial" w:cs="Arial"/>
          <w:bCs/>
          <w:sz w:val="20"/>
          <w:szCs w:val="20"/>
        </w:rPr>
        <w:t xml:space="preserve">военные арсеналы США, </w:t>
      </w:r>
      <w:r w:rsidR="00B5042C">
        <w:rPr>
          <w:rFonts w:ascii="Arial" w:hAnsi="Arial" w:cs="Arial"/>
          <w:bCs/>
          <w:sz w:val="20"/>
          <w:szCs w:val="20"/>
        </w:rPr>
        <w:t xml:space="preserve">это </w:t>
      </w:r>
      <w:r w:rsidR="00C174BC">
        <w:rPr>
          <w:rFonts w:ascii="Arial" w:hAnsi="Arial" w:cs="Arial"/>
          <w:bCs/>
          <w:sz w:val="20"/>
          <w:szCs w:val="20"/>
        </w:rPr>
        <w:t xml:space="preserve">ведёт к нарастанию </w:t>
      </w:r>
      <w:r w:rsidR="002123B8">
        <w:rPr>
          <w:rFonts w:ascii="Arial" w:hAnsi="Arial" w:cs="Arial"/>
          <w:bCs/>
          <w:sz w:val="20"/>
          <w:szCs w:val="20"/>
        </w:rPr>
        <w:t>конфликтов</w:t>
      </w:r>
      <w:r w:rsidR="00B76BCE">
        <w:rPr>
          <w:rFonts w:ascii="Arial" w:hAnsi="Arial" w:cs="Arial"/>
          <w:bCs/>
          <w:sz w:val="20"/>
          <w:szCs w:val="20"/>
        </w:rPr>
        <w:t>.</w:t>
      </w:r>
    </w:p>
    <w:p w:rsidR="00B5042C" w:rsidRDefault="0097405C" w:rsidP="00812E3E">
      <w:pPr>
        <w:pStyle w:val="a3"/>
        <w:spacing w:before="240" w:after="0" w:line="240" w:lineRule="auto"/>
        <w:ind w:left="0" w:firstLine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12E3E">
        <w:rPr>
          <w:rFonts w:ascii="Arial" w:hAnsi="Arial" w:cs="Arial"/>
          <w:sz w:val="20"/>
          <w:szCs w:val="20"/>
        </w:rPr>
        <w:t xml:space="preserve">Происходящие </w:t>
      </w:r>
      <w:r w:rsidR="004D4E9B">
        <w:rPr>
          <w:rFonts w:ascii="Arial" w:hAnsi="Arial" w:cs="Arial"/>
          <w:sz w:val="20"/>
          <w:szCs w:val="20"/>
        </w:rPr>
        <w:t>международные</w:t>
      </w:r>
      <w:r w:rsidR="00812E3E">
        <w:rPr>
          <w:rFonts w:ascii="Arial" w:hAnsi="Arial" w:cs="Arial"/>
          <w:sz w:val="20"/>
          <w:szCs w:val="20"/>
        </w:rPr>
        <w:t xml:space="preserve"> события</w:t>
      </w:r>
      <w:r w:rsidR="002B277A">
        <w:rPr>
          <w:rFonts w:ascii="Arial" w:hAnsi="Arial" w:cs="Arial"/>
          <w:sz w:val="20"/>
          <w:szCs w:val="20"/>
        </w:rPr>
        <w:t xml:space="preserve"> </w:t>
      </w:r>
      <w:r w:rsidR="00430ED2">
        <w:rPr>
          <w:rFonts w:ascii="Arial" w:hAnsi="Arial" w:cs="Arial"/>
          <w:sz w:val="20"/>
          <w:szCs w:val="20"/>
        </w:rPr>
        <w:t>отрицательно отра</w:t>
      </w:r>
      <w:r w:rsidR="004D4E9B">
        <w:rPr>
          <w:rFonts w:ascii="Arial" w:hAnsi="Arial" w:cs="Arial"/>
          <w:sz w:val="20"/>
          <w:szCs w:val="20"/>
        </w:rPr>
        <w:t>зились</w:t>
      </w:r>
      <w:r w:rsidR="002B277A">
        <w:rPr>
          <w:rFonts w:ascii="Arial" w:hAnsi="Arial" w:cs="Arial"/>
          <w:sz w:val="20"/>
          <w:szCs w:val="20"/>
        </w:rPr>
        <w:t xml:space="preserve"> на российской экономике</w:t>
      </w:r>
      <w:r w:rsidR="00A270B1">
        <w:rPr>
          <w:rFonts w:ascii="Arial" w:hAnsi="Arial" w:cs="Arial"/>
          <w:sz w:val="20"/>
          <w:szCs w:val="20"/>
        </w:rPr>
        <w:t xml:space="preserve"> в 2015 году</w:t>
      </w:r>
      <w:r w:rsidR="002B277A">
        <w:rPr>
          <w:rFonts w:ascii="Arial" w:hAnsi="Arial" w:cs="Arial"/>
          <w:sz w:val="20"/>
          <w:szCs w:val="20"/>
        </w:rPr>
        <w:t xml:space="preserve">: </w:t>
      </w:r>
      <w:r w:rsidR="004D4E9B">
        <w:rPr>
          <w:rFonts w:ascii="Arial" w:hAnsi="Arial" w:cs="Arial"/>
          <w:sz w:val="20"/>
          <w:szCs w:val="20"/>
        </w:rPr>
        <w:t xml:space="preserve">произошло </w:t>
      </w:r>
      <w:r w:rsidR="00791E08">
        <w:rPr>
          <w:rFonts w:ascii="Arial" w:hAnsi="Arial" w:cs="Arial"/>
          <w:sz w:val="20"/>
          <w:szCs w:val="20"/>
        </w:rPr>
        <w:t xml:space="preserve">нарушение и ограничение внешнеэкономических связей, ограничение внешней торговли, инвестиций и заимствований, </w:t>
      </w:r>
      <w:r w:rsidR="005D634F">
        <w:rPr>
          <w:rFonts w:ascii="Arial" w:hAnsi="Arial" w:cs="Arial"/>
          <w:sz w:val="20"/>
          <w:szCs w:val="20"/>
        </w:rPr>
        <w:t xml:space="preserve">сокращение </w:t>
      </w:r>
      <w:r w:rsidR="00CC38B7">
        <w:rPr>
          <w:rFonts w:ascii="Arial" w:hAnsi="Arial" w:cs="Arial"/>
          <w:sz w:val="20"/>
          <w:szCs w:val="20"/>
        </w:rPr>
        <w:t xml:space="preserve">доходов </w:t>
      </w:r>
      <w:r w:rsidR="005D634F">
        <w:rPr>
          <w:rFonts w:ascii="Arial" w:hAnsi="Arial" w:cs="Arial"/>
          <w:sz w:val="20"/>
          <w:szCs w:val="20"/>
        </w:rPr>
        <w:t>бюджета и повышение потребительских цен из-за снижения мировых цен на нефть</w:t>
      </w:r>
      <w:r w:rsidR="00791E08">
        <w:rPr>
          <w:rFonts w:ascii="Arial" w:hAnsi="Arial" w:cs="Arial"/>
          <w:sz w:val="20"/>
          <w:szCs w:val="20"/>
        </w:rPr>
        <w:t>, снижение доходов населения и бизнеса</w:t>
      </w:r>
      <w:r w:rsidR="00A270B1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91E08">
        <w:rPr>
          <w:rFonts w:ascii="Arial" w:hAnsi="Arial" w:cs="Arial"/>
          <w:sz w:val="20"/>
          <w:szCs w:val="20"/>
        </w:rPr>
        <w:t xml:space="preserve">Поэтому </w:t>
      </w:r>
      <w:r w:rsidR="0066087E" w:rsidRPr="0066087E">
        <w:rPr>
          <w:rFonts w:ascii="Arial" w:hAnsi="Arial" w:cs="Arial"/>
          <w:bCs/>
          <w:sz w:val="20"/>
          <w:szCs w:val="20"/>
        </w:rPr>
        <w:t>Росси</w:t>
      </w:r>
      <w:r>
        <w:rPr>
          <w:rFonts w:ascii="Arial" w:hAnsi="Arial" w:cs="Arial"/>
          <w:bCs/>
          <w:sz w:val="20"/>
          <w:szCs w:val="20"/>
        </w:rPr>
        <w:t>я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вынуждена </w:t>
      </w:r>
      <w:r w:rsidR="005D634F">
        <w:rPr>
          <w:rFonts w:ascii="Arial" w:hAnsi="Arial" w:cs="Arial"/>
          <w:bCs/>
          <w:sz w:val="20"/>
          <w:szCs w:val="20"/>
        </w:rPr>
        <w:t xml:space="preserve">срочно 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искать пути диверсификации экономических отношений в направлении других стран (Китай, Индия, </w:t>
      </w:r>
      <w:r w:rsidR="00B5042C">
        <w:rPr>
          <w:rFonts w:ascii="Arial" w:hAnsi="Arial" w:cs="Arial"/>
          <w:bCs/>
          <w:sz w:val="20"/>
          <w:szCs w:val="20"/>
        </w:rPr>
        <w:t xml:space="preserve">Турция, 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Иран, Корея, Бразилия, ЮАР, Венесуэла и другие), а также восстанавливать и углублять отношения со странами </w:t>
      </w:r>
      <w:proofErr w:type="spellStart"/>
      <w:r w:rsidR="0066087E" w:rsidRPr="0066087E">
        <w:rPr>
          <w:rFonts w:ascii="Arial" w:hAnsi="Arial" w:cs="Arial"/>
          <w:bCs/>
          <w:sz w:val="20"/>
          <w:szCs w:val="20"/>
        </w:rPr>
        <w:t>ЕврАзЭс</w:t>
      </w:r>
      <w:proofErr w:type="spellEnd"/>
      <w:r w:rsidR="0066087E" w:rsidRPr="0066087E">
        <w:rPr>
          <w:rFonts w:ascii="Arial" w:hAnsi="Arial" w:cs="Arial"/>
          <w:bCs/>
          <w:sz w:val="20"/>
          <w:szCs w:val="20"/>
        </w:rPr>
        <w:t xml:space="preserve"> (Армения, Белоруссия, Казахстан, Киргизия) и другими среднеазиатскими республиками (Азерба</w:t>
      </w:r>
      <w:r w:rsidR="00791E08">
        <w:rPr>
          <w:rFonts w:ascii="Arial" w:hAnsi="Arial" w:cs="Arial"/>
          <w:bCs/>
          <w:sz w:val="20"/>
          <w:szCs w:val="20"/>
        </w:rPr>
        <w:t>йджан, Таджикистан, Узбекистан), идти по пути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</w:t>
      </w:r>
      <w:r w:rsidR="00791E08">
        <w:rPr>
          <w:rFonts w:ascii="Arial" w:hAnsi="Arial" w:cs="Arial"/>
          <w:bCs/>
          <w:sz w:val="20"/>
          <w:szCs w:val="20"/>
        </w:rPr>
        <w:t>импортозамещения товаров.</w:t>
      </w:r>
      <w:proofErr w:type="gramEnd"/>
      <w:r w:rsidR="00791E08">
        <w:rPr>
          <w:rFonts w:ascii="Arial" w:hAnsi="Arial" w:cs="Arial"/>
          <w:bCs/>
          <w:sz w:val="20"/>
          <w:szCs w:val="20"/>
        </w:rPr>
        <w:t xml:space="preserve"> </w:t>
      </w:r>
      <w:r w:rsidR="00D72A0A">
        <w:rPr>
          <w:rFonts w:ascii="Arial" w:hAnsi="Arial" w:cs="Arial"/>
          <w:bCs/>
          <w:sz w:val="20"/>
          <w:szCs w:val="20"/>
        </w:rPr>
        <w:t xml:space="preserve">Развиваются </w:t>
      </w:r>
      <w:r w:rsidR="0066087E" w:rsidRPr="0066087E">
        <w:rPr>
          <w:rFonts w:ascii="Arial" w:hAnsi="Arial" w:cs="Arial"/>
          <w:bCs/>
          <w:sz w:val="20"/>
          <w:szCs w:val="20"/>
        </w:rPr>
        <w:t>финансовы</w:t>
      </w:r>
      <w:r w:rsidR="00D72A0A">
        <w:rPr>
          <w:rFonts w:ascii="Arial" w:hAnsi="Arial" w:cs="Arial"/>
          <w:bCs/>
          <w:sz w:val="20"/>
          <w:szCs w:val="20"/>
        </w:rPr>
        <w:t>е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механизм</w:t>
      </w:r>
      <w:r w:rsidR="00D72A0A">
        <w:rPr>
          <w:rFonts w:ascii="Arial" w:hAnsi="Arial" w:cs="Arial"/>
          <w:bCs/>
          <w:sz w:val="20"/>
          <w:szCs w:val="20"/>
        </w:rPr>
        <w:t>ы</w:t>
      </w:r>
      <w:r w:rsidR="0066087E" w:rsidRPr="0066087E">
        <w:rPr>
          <w:rFonts w:ascii="Arial" w:hAnsi="Arial" w:cs="Arial"/>
          <w:bCs/>
          <w:sz w:val="20"/>
          <w:szCs w:val="20"/>
        </w:rPr>
        <w:t>, сни</w:t>
      </w:r>
      <w:r w:rsidR="00D72A0A">
        <w:rPr>
          <w:rFonts w:ascii="Arial" w:hAnsi="Arial" w:cs="Arial"/>
          <w:bCs/>
          <w:sz w:val="20"/>
          <w:szCs w:val="20"/>
        </w:rPr>
        <w:t xml:space="preserve">жающие 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роль западных валют в </w:t>
      </w:r>
      <w:r w:rsidR="00D72A0A">
        <w:rPr>
          <w:rFonts w:ascii="Arial" w:hAnsi="Arial" w:cs="Arial"/>
          <w:bCs/>
          <w:sz w:val="20"/>
          <w:szCs w:val="20"/>
        </w:rPr>
        <w:t xml:space="preserve">международных расчётах России, снижается финансовая </w:t>
      </w:r>
      <w:r w:rsidR="0066087E" w:rsidRPr="0066087E">
        <w:rPr>
          <w:rFonts w:ascii="Arial" w:hAnsi="Arial" w:cs="Arial"/>
          <w:bCs/>
          <w:sz w:val="20"/>
          <w:szCs w:val="20"/>
        </w:rPr>
        <w:t>зависимость от Запада</w:t>
      </w:r>
      <w:r>
        <w:rPr>
          <w:rFonts w:ascii="Arial" w:hAnsi="Arial" w:cs="Arial"/>
          <w:bCs/>
          <w:sz w:val="20"/>
          <w:szCs w:val="20"/>
        </w:rPr>
        <w:t>.</w:t>
      </w:r>
      <w:r w:rsidR="00C2413A">
        <w:rPr>
          <w:rFonts w:ascii="Arial" w:hAnsi="Arial" w:cs="Arial"/>
          <w:bCs/>
          <w:sz w:val="20"/>
          <w:szCs w:val="20"/>
        </w:rPr>
        <w:t xml:space="preserve"> </w:t>
      </w:r>
    </w:p>
    <w:p w:rsidR="00204906" w:rsidRDefault="00204906" w:rsidP="002049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В условиях беспрецедентного давления Запада Россия</w:t>
      </w:r>
      <w:r w:rsidR="00D72A0A">
        <w:rPr>
          <w:rFonts w:ascii="Arial" w:hAnsi="Arial" w:cs="Arial"/>
          <w:bCs/>
          <w:sz w:val="20"/>
          <w:szCs w:val="20"/>
        </w:rPr>
        <w:t xml:space="preserve"> </w:t>
      </w:r>
      <w:r w:rsidR="00252E12">
        <w:rPr>
          <w:rFonts w:ascii="Arial" w:hAnsi="Arial" w:cs="Arial"/>
          <w:bCs/>
          <w:sz w:val="20"/>
          <w:szCs w:val="20"/>
        </w:rPr>
        <w:t xml:space="preserve">всесторонне развивает экономику и </w:t>
      </w:r>
      <w:r>
        <w:rPr>
          <w:rFonts w:ascii="Arial" w:hAnsi="Arial" w:cs="Arial"/>
          <w:bCs/>
          <w:sz w:val="20"/>
          <w:szCs w:val="20"/>
        </w:rPr>
        <w:t xml:space="preserve">расширяет внешнеэкономические связи: </w:t>
      </w:r>
    </w:p>
    <w:p w:rsidR="00DC7D2C" w:rsidRDefault="009A58A8" w:rsidP="00DC7D2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252E12">
        <w:rPr>
          <w:rFonts w:ascii="Arial" w:hAnsi="Arial" w:cs="Arial"/>
          <w:sz w:val="20"/>
          <w:szCs w:val="20"/>
        </w:rPr>
        <w:t xml:space="preserve">еализуется </w:t>
      </w:r>
      <w:r w:rsidR="00D72A0A">
        <w:rPr>
          <w:rFonts w:ascii="Arial" w:hAnsi="Arial" w:cs="Arial"/>
          <w:sz w:val="20"/>
          <w:szCs w:val="20"/>
        </w:rPr>
        <w:t>множество новых проектов</w:t>
      </w:r>
      <w:r w:rsidR="003D5D10">
        <w:rPr>
          <w:rFonts w:ascii="Arial" w:hAnsi="Arial" w:cs="Arial"/>
          <w:sz w:val="20"/>
          <w:szCs w:val="20"/>
        </w:rPr>
        <w:t>. Из них</w:t>
      </w:r>
      <w:r w:rsidR="00D72A0A">
        <w:rPr>
          <w:rFonts w:ascii="Arial" w:hAnsi="Arial" w:cs="Arial"/>
          <w:sz w:val="20"/>
          <w:szCs w:val="20"/>
        </w:rPr>
        <w:t xml:space="preserve"> </w:t>
      </w:r>
      <w:r w:rsidR="003D5D10">
        <w:rPr>
          <w:rFonts w:ascii="Arial" w:hAnsi="Arial" w:cs="Arial"/>
          <w:sz w:val="20"/>
          <w:szCs w:val="20"/>
        </w:rPr>
        <w:t>328 -</w:t>
      </w:r>
      <w:r w:rsidR="00252E12">
        <w:rPr>
          <w:rFonts w:ascii="Arial" w:hAnsi="Arial" w:cs="Arial"/>
          <w:sz w:val="20"/>
          <w:szCs w:val="20"/>
        </w:rPr>
        <w:t xml:space="preserve"> стоимостью более 10 млрд. руб. каждый</w:t>
      </w:r>
      <w:r w:rsidR="003D5D10">
        <w:rPr>
          <w:rFonts w:ascii="Arial" w:hAnsi="Arial" w:cs="Arial"/>
          <w:sz w:val="20"/>
          <w:szCs w:val="20"/>
        </w:rPr>
        <w:t>.</w:t>
      </w:r>
      <w:r w:rsidR="00252E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D5D10">
        <w:rPr>
          <w:rFonts w:ascii="Arial" w:hAnsi="Arial" w:cs="Arial"/>
          <w:sz w:val="20"/>
          <w:szCs w:val="20"/>
        </w:rPr>
        <w:t>В том числе,</w:t>
      </w:r>
      <w:r w:rsidR="00252E12">
        <w:rPr>
          <w:rFonts w:ascii="Arial" w:hAnsi="Arial" w:cs="Arial"/>
          <w:sz w:val="20"/>
          <w:szCs w:val="20"/>
        </w:rPr>
        <w:t xml:space="preserve"> международные </w:t>
      </w:r>
      <w:r w:rsidR="002A6ABE">
        <w:rPr>
          <w:rFonts w:ascii="Arial" w:hAnsi="Arial" w:cs="Arial"/>
          <w:sz w:val="20"/>
          <w:szCs w:val="20"/>
        </w:rPr>
        <w:t>и с участием иностранных (включая западных) инвесторов</w:t>
      </w:r>
      <w:r w:rsidR="00903A0D">
        <w:rPr>
          <w:rFonts w:ascii="Arial" w:hAnsi="Arial" w:cs="Arial"/>
          <w:sz w:val="20"/>
          <w:szCs w:val="20"/>
        </w:rPr>
        <w:t xml:space="preserve"> в области </w:t>
      </w:r>
      <w:r w:rsidR="008479A9">
        <w:rPr>
          <w:rFonts w:ascii="Arial" w:hAnsi="Arial" w:cs="Arial"/>
          <w:sz w:val="20"/>
          <w:szCs w:val="20"/>
        </w:rPr>
        <w:t xml:space="preserve">атомной, </w:t>
      </w:r>
      <w:proofErr w:type="spellStart"/>
      <w:r w:rsidR="008479A9">
        <w:rPr>
          <w:rFonts w:ascii="Arial" w:hAnsi="Arial" w:cs="Arial"/>
          <w:sz w:val="20"/>
          <w:szCs w:val="20"/>
        </w:rPr>
        <w:t>гидро</w:t>
      </w:r>
      <w:proofErr w:type="spellEnd"/>
      <w:r w:rsidR="008479A9">
        <w:rPr>
          <w:rFonts w:ascii="Arial" w:hAnsi="Arial" w:cs="Arial"/>
          <w:sz w:val="20"/>
          <w:szCs w:val="20"/>
        </w:rPr>
        <w:t xml:space="preserve">- и тепловой </w:t>
      </w:r>
      <w:r w:rsidR="00903A0D">
        <w:rPr>
          <w:rFonts w:ascii="Arial" w:hAnsi="Arial" w:cs="Arial"/>
          <w:sz w:val="20"/>
          <w:szCs w:val="20"/>
        </w:rPr>
        <w:t xml:space="preserve">энергетики, металлургии, машиностроения, </w:t>
      </w:r>
      <w:r w:rsidR="008479A9">
        <w:rPr>
          <w:rFonts w:ascii="Arial" w:hAnsi="Arial" w:cs="Arial"/>
          <w:sz w:val="20"/>
          <w:szCs w:val="20"/>
        </w:rPr>
        <w:t xml:space="preserve">судостроения, </w:t>
      </w:r>
      <w:r w:rsidR="00903A0D">
        <w:rPr>
          <w:rFonts w:ascii="Arial" w:hAnsi="Arial" w:cs="Arial"/>
          <w:sz w:val="20"/>
          <w:szCs w:val="20"/>
        </w:rPr>
        <w:t xml:space="preserve">нефтегазовой, химической, фармацевтической, легкой и пищевой промышленности, дорожного </w:t>
      </w:r>
      <w:r w:rsidR="008479A9">
        <w:rPr>
          <w:rFonts w:ascii="Arial" w:hAnsi="Arial" w:cs="Arial"/>
          <w:sz w:val="20"/>
          <w:szCs w:val="20"/>
        </w:rPr>
        <w:t xml:space="preserve">и транспортного </w:t>
      </w:r>
      <w:r w:rsidR="00903A0D">
        <w:rPr>
          <w:rFonts w:ascii="Arial" w:hAnsi="Arial" w:cs="Arial"/>
          <w:sz w:val="20"/>
          <w:szCs w:val="20"/>
        </w:rPr>
        <w:t>строительства</w:t>
      </w:r>
      <w:r w:rsidR="008479A9">
        <w:rPr>
          <w:rFonts w:ascii="Arial" w:hAnsi="Arial" w:cs="Arial"/>
          <w:sz w:val="20"/>
          <w:szCs w:val="20"/>
        </w:rPr>
        <w:t xml:space="preserve"> (крупнейшие мосты и магистрали, линии метрополитена, тоннели, аэропорты и аэродромы, трубопроводы и хранилища нефти и газа, морские порты)</w:t>
      </w:r>
      <w:r w:rsidR="00903A0D">
        <w:rPr>
          <w:rFonts w:ascii="Arial" w:hAnsi="Arial" w:cs="Arial"/>
          <w:sz w:val="20"/>
          <w:szCs w:val="20"/>
        </w:rPr>
        <w:t xml:space="preserve">, </w:t>
      </w:r>
      <w:r w:rsidR="008479A9">
        <w:rPr>
          <w:rFonts w:ascii="Arial" w:hAnsi="Arial" w:cs="Arial"/>
          <w:sz w:val="20"/>
          <w:szCs w:val="20"/>
        </w:rPr>
        <w:t xml:space="preserve">в области </w:t>
      </w:r>
      <w:r w:rsidR="00903A0D">
        <w:rPr>
          <w:rFonts w:ascii="Arial" w:hAnsi="Arial" w:cs="Arial"/>
          <w:sz w:val="20"/>
          <w:szCs w:val="20"/>
        </w:rPr>
        <w:t>промышленности стройматериалов, связи и телекоммуникаций, науки и образования</w:t>
      </w:r>
      <w:proofErr w:type="gramEnd"/>
      <w:r w:rsidR="008479A9">
        <w:rPr>
          <w:rFonts w:ascii="Arial" w:hAnsi="Arial" w:cs="Arial"/>
          <w:sz w:val="20"/>
          <w:szCs w:val="20"/>
        </w:rPr>
        <w:t>, в области авиации, космонавтики и ракетной техники</w:t>
      </w:r>
      <w:r w:rsidR="002A6ABE">
        <w:rPr>
          <w:rFonts w:ascii="Arial" w:hAnsi="Arial" w:cs="Arial"/>
          <w:sz w:val="20"/>
          <w:szCs w:val="20"/>
        </w:rPr>
        <w:t>;</w:t>
      </w:r>
    </w:p>
    <w:p w:rsidR="00243176" w:rsidRPr="00CB4096" w:rsidRDefault="002123B8" w:rsidP="00CB4096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Июньский </w:t>
      </w:r>
      <w:r w:rsidR="008479A9" w:rsidRPr="009A58A8">
        <w:rPr>
          <w:rFonts w:ascii="Arial" w:hAnsi="Arial" w:cs="Arial"/>
          <w:sz w:val="20"/>
          <w:szCs w:val="20"/>
        </w:rPr>
        <w:t>Санкт-</w:t>
      </w:r>
      <w:r w:rsidR="00947552" w:rsidRPr="009A58A8">
        <w:rPr>
          <w:rFonts w:ascii="Arial" w:hAnsi="Arial" w:cs="Arial"/>
          <w:sz w:val="20"/>
          <w:szCs w:val="20"/>
        </w:rPr>
        <w:t>Петербургск</w:t>
      </w:r>
      <w:r w:rsidR="00243176">
        <w:rPr>
          <w:rFonts w:ascii="Arial" w:hAnsi="Arial" w:cs="Arial"/>
          <w:sz w:val="20"/>
          <w:szCs w:val="20"/>
        </w:rPr>
        <w:t>ий</w:t>
      </w:r>
      <w:r w:rsidR="00947552" w:rsidRPr="009A58A8">
        <w:rPr>
          <w:rFonts w:ascii="Arial" w:hAnsi="Arial" w:cs="Arial"/>
          <w:sz w:val="20"/>
          <w:szCs w:val="20"/>
        </w:rPr>
        <w:t xml:space="preserve"> международн</w:t>
      </w:r>
      <w:r w:rsidR="00243176">
        <w:rPr>
          <w:rFonts w:ascii="Arial" w:hAnsi="Arial" w:cs="Arial"/>
          <w:sz w:val="20"/>
          <w:szCs w:val="20"/>
        </w:rPr>
        <w:t>ый</w:t>
      </w:r>
      <w:r w:rsidR="00947552" w:rsidRPr="009A58A8">
        <w:rPr>
          <w:rFonts w:ascii="Arial" w:hAnsi="Arial" w:cs="Arial"/>
          <w:sz w:val="20"/>
          <w:szCs w:val="20"/>
        </w:rPr>
        <w:t xml:space="preserve"> экономическ</w:t>
      </w:r>
      <w:r w:rsidR="00243176">
        <w:rPr>
          <w:rFonts w:ascii="Arial" w:hAnsi="Arial" w:cs="Arial"/>
          <w:sz w:val="20"/>
          <w:szCs w:val="20"/>
        </w:rPr>
        <w:t>ий форум</w:t>
      </w:r>
      <w:r>
        <w:rPr>
          <w:rFonts w:ascii="Arial" w:hAnsi="Arial" w:cs="Arial"/>
          <w:sz w:val="20"/>
          <w:szCs w:val="20"/>
        </w:rPr>
        <w:t xml:space="preserve"> принял</w:t>
      </w:r>
      <w:r w:rsidR="00BE4AC3" w:rsidRPr="009A58A8">
        <w:rPr>
          <w:rFonts w:ascii="Arial" w:hAnsi="Arial" w:cs="Arial"/>
          <w:sz w:val="20"/>
          <w:szCs w:val="20"/>
        </w:rPr>
        <w:t xml:space="preserve"> более 14 тысяч </w:t>
      </w:r>
      <w:r>
        <w:rPr>
          <w:rFonts w:ascii="Arial" w:hAnsi="Arial" w:cs="Arial"/>
          <w:sz w:val="20"/>
          <w:szCs w:val="20"/>
        </w:rPr>
        <w:t>участников</w:t>
      </w:r>
      <w:r w:rsidR="00BE4AC3" w:rsidRPr="009A58A8">
        <w:rPr>
          <w:rFonts w:ascii="Arial" w:hAnsi="Arial" w:cs="Arial"/>
          <w:sz w:val="20"/>
          <w:szCs w:val="20"/>
        </w:rPr>
        <w:t xml:space="preserve"> из 143 стран</w:t>
      </w:r>
      <w:r w:rsidR="009855D4">
        <w:rPr>
          <w:rFonts w:ascii="Arial" w:hAnsi="Arial" w:cs="Arial"/>
          <w:sz w:val="20"/>
          <w:szCs w:val="20"/>
        </w:rPr>
        <w:t>,</w:t>
      </w:r>
      <w:r w:rsidR="00BE4AC3" w:rsidRPr="009A58A8">
        <w:rPr>
          <w:rFonts w:ascii="Arial" w:hAnsi="Arial" w:cs="Arial"/>
          <w:sz w:val="20"/>
          <w:szCs w:val="20"/>
        </w:rPr>
        <w:t xml:space="preserve"> </w:t>
      </w:r>
      <w:r w:rsidR="009855D4">
        <w:rPr>
          <w:rFonts w:ascii="Arial" w:hAnsi="Arial" w:cs="Arial"/>
          <w:sz w:val="20"/>
          <w:szCs w:val="20"/>
        </w:rPr>
        <w:t>п</w:t>
      </w:r>
      <w:r w:rsidR="00947552" w:rsidRPr="009A58A8">
        <w:rPr>
          <w:rFonts w:ascii="Arial" w:hAnsi="Arial" w:cs="Arial"/>
          <w:sz w:val="20"/>
          <w:szCs w:val="20"/>
        </w:rPr>
        <w:t xml:space="preserve">одписано </w:t>
      </w:r>
      <w:r w:rsidR="00333492" w:rsidRPr="009A58A8">
        <w:rPr>
          <w:rFonts w:ascii="Arial" w:hAnsi="Arial" w:cs="Arial"/>
          <w:sz w:val="20"/>
          <w:szCs w:val="20"/>
        </w:rPr>
        <w:t>около 400</w:t>
      </w:r>
      <w:r w:rsidR="00947552" w:rsidRPr="009A58A8">
        <w:rPr>
          <w:rFonts w:ascii="Arial" w:hAnsi="Arial" w:cs="Arial"/>
          <w:sz w:val="20"/>
          <w:szCs w:val="20"/>
        </w:rPr>
        <w:t xml:space="preserve"> инвестиционных соглашений </w:t>
      </w:r>
      <w:r w:rsidR="00333492" w:rsidRPr="009A58A8">
        <w:rPr>
          <w:rFonts w:ascii="Arial" w:hAnsi="Arial" w:cs="Arial"/>
          <w:sz w:val="20"/>
          <w:szCs w:val="20"/>
        </w:rPr>
        <w:t>с зарубежными компаниям</w:t>
      </w:r>
      <w:bookmarkStart w:id="0" w:name="_GoBack"/>
      <w:bookmarkEnd w:id="0"/>
      <w:r w:rsidR="00333492" w:rsidRPr="009A58A8">
        <w:rPr>
          <w:rFonts w:ascii="Arial" w:hAnsi="Arial" w:cs="Arial"/>
          <w:sz w:val="20"/>
          <w:szCs w:val="20"/>
        </w:rPr>
        <w:t xml:space="preserve">и </w:t>
      </w:r>
      <w:r w:rsidR="00947552" w:rsidRPr="009A58A8">
        <w:rPr>
          <w:rFonts w:ascii="Arial" w:hAnsi="Arial" w:cs="Arial"/>
          <w:sz w:val="20"/>
          <w:szCs w:val="20"/>
        </w:rPr>
        <w:t>на сумму более двух триллионов рублей</w:t>
      </w:r>
      <w:r w:rsidR="009855D4">
        <w:rPr>
          <w:rFonts w:ascii="Arial" w:hAnsi="Arial" w:cs="Arial"/>
          <w:sz w:val="20"/>
          <w:szCs w:val="20"/>
        </w:rPr>
        <w:t xml:space="preserve">. 5 июля с КНР заключено ряд соглашений в области транспорта, </w:t>
      </w:r>
      <w:r w:rsidR="001C57AD">
        <w:rPr>
          <w:rFonts w:ascii="Arial" w:hAnsi="Arial" w:cs="Arial"/>
          <w:sz w:val="20"/>
          <w:szCs w:val="20"/>
        </w:rPr>
        <w:t xml:space="preserve">энергетики, </w:t>
      </w:r>
      <w:r w:rsidR="009855D4">
        <w:rPr>
          <w:rFonts w:ascii="Arial" w:hAnsi="Arial" w:cs="Arial"/>
          <w:sz w:val="20"/>
          <w:szCs w:val="20"/>
        </w:rPr>
        <w:t xml:space="preserve">сельского хозяйства, информации и санитарной </w:t>
      </w:r>
      <w:r w:rsidR="00CB4096">
        <w:rPr>
          <w:rFonts w:ascii="Arial" w:hAnsi="Arial" w:cs="Arial"/>
          <w:sz w:val="20"/>
          <w:szCs w:val="20"/>
        </w:rPr>
        <w:t>защиты на сумму около 10 млрд. долл.</w:t>
      </w:r>
    </w:p>
    <w:p w:rsidR="009A58A8" w:rsidRPr="009A58A8" w:rsidRDefault="009A58A8" w:rsidP="009A58A8">
      <w:pPr>
        <w:pStyle w:val="a3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100CF7" w:rsidRPr="00DC7D2C" w:rsidRDefault="00100CF7" w:rsidP="00DC7D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460FA6" w:rsidRDefault="009A1FEE" w:rsidP="00460FA6">
      <w:pPr>
        <w:spacing w:after="0" w:line="240" w:lineRule="auto"/>
        <w:contextualSpacing/>
        <w:jc w:val="center"/>
        <w:rPr>
          <w:rStyle w:val="a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8" w:history="1">
        <w:r w:rsidR="00CD7BC4" w:rsidRPr="00B5365A">
          <w:rPr>
            <w:rStyle w:val="a4"/>
          </w:rPr>
          <w:t>http://www.gks.ru/bgd/free/B17_00/Main.htm</w:t>
        </w:r>
      </w:hyperlink>
      <w:r w:rsidR="00CD7BC4">
        <w:t xml:space="preserve">) </w:t>
      </w:r>
    </w:p>
    <w:tbl>
      <w:tblPr>
        <w:tblpPr w:leftFromText="180" w:rightFromText="180" w:vertAnchor="text" w:horzAnchor="margin" w:tblpXSpec="center" w:tblpY="2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836"/>
        <w:gridCol w:w="1000"/>
        <w:gridCol w:w="837"/>
        <w:gridCol w:w="837"/>
        <w:gridCol w:w="1295"/>
        <w:gridCol w:w="851"/>
        <w:gridCol w:w="992"/>
        <w:gridCol w:w="1276"/>
      </w:tblGrid>
      <w:tr w:rsidR="00D5148E" w:rsidRPr="00D5148E" w:rsidTr="00E95E4F">
        <w:trPr>
          <w:tblHeader/>
        </w:trPr>
        <w:tc>
          <w:tcPr>
            <w:tcW w:w="2836" w:type="dxa"/>
            <w:vMerge w:val="restart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Май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1674" w:type="dxa"/>
            <w:gridSpan w:val="2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В % к</w:t>
            </w:r>
          </w:p>
        </w:tc>
        <w:tc>
          <w:tcPr>
            <w:tcW w:w="1295" w:type="dxa"/>
            <w:vMerge w:val="restart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Январь</w:t>
            </w:r>
            <w:r w:rsidR="00CD7B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148E">
              <w:rPr>
                <w:rFonts w:ascii="Arial" w:hAnsi="Arial" w:cs="Arial"/>
                <w:sz w:val="20"/>
                <w:szCs w:val="20"/>
              </w:rPr>
              <w:t>-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май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2017г.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в % к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январ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ю-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br/>
              <w:t>маю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3119" w:type="dxa"/>
            <w:gridSpan w:val="3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Справочно</w:t>
            </w:r>
          </w:p>
        </w:tc>
      </w:tr>
      <w:tr w:rsidR="00460FA6" w:rsidRPr="00D5148E" w:rsidTr="00E95E4F">
        <w:trPr>
          <w:tblHeader/>
        </w:trPr>
        <w:tc>
          <w:tcPr>
            <w:tcW w:w="2836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 w:val="restart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маю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837" w:type="dxa"/>
            <w:vMerge w:val="restart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апрелю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1295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май 2016г. 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 xml:space="preserve"> % к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60FA6" w:rsidRPr="00D5148E" w:rsidRDefault="00CD7BC4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Я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t>нварь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t>-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май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2016г.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в % к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январ</w:t>
            </w:r>
            <w:proofErr w:type="gramStart"/>
            <w:r w:rsidR="00460FA6" w:rsidRPr="00D5148E">
              <w:rPr>
                <w:rFonts w:ascii="Arial" w:hAnsi="Arial" w:cs="Arial"/>
                <w:sz w:val="20"/>
                <w:szCs w:val="20"/>
              </w:rPr>
              <w:t>ю-</w:t>
            </w:r>
            <w:proofErr w:type="gramEnd"/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маю</w:t>
            </w:r>
            <w:r w:rsidR="00460FA6" w:rsidRPr="00D5148E">
              <w:rPr>
                <w:rFonts w:ascii="Arial" w:hAnsi="Arial" w:cs="Arial"/>
                <w:sz w:val="20"/>
                <w:szCs w:val="20"/>
              </w:rPr>
              <w:br/>
              <w:t>2015г.</w:t>
            </w:r>
          </w:p>
        </w:tc>
      </w:tr>
      <w:tr w:rsidR="00460FA6" w:rsidRPr="00D5148E" w:rsidTr="00E95E4F">
        <w:trPr>
          <w:trHeight w:val="605"/>
          <w:tblHeader/>
        </w:trPr>
        <w:tc>
          <w:tcPr>
            <w:tcW w:w="2836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маю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2015г.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апрелю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>2016г.</w:t>
            </w:r>
          </w:p>
        </w:tc>
        <w:tc>
          <w:tcPr>
            <w:tcW w:w="1276" w:type="dxa"/>
            <w:vMerge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Валовой внутренний продукт,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20090,9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100,5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37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99,6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2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Индекс промышленного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производства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105,6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Продукция сельского хозяйства,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341</w:t>
            </w:r>
            <w:r w:rsidRPr="00D5148E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112,1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112,7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Грузооборот транспорта,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.т</w:t>
            </w:r>
            <w:proofErr w:type="spellEnd"/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-км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456,7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109,5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BC4">
              <w:rPr>
                <w:rFonts w:ascii="Arial" w:hAnsi="Arial" w:cs="Arial"/>
                <w:color w:val="00B050"/>
                <w:sz w:val="20"/>
                <w:szCs w:val="20"/>
              </w:rPr>
              <w:t>107,0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   железнодорожного транспорта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209,5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101,4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торговли,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2380,0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платных услуг населению, </w:t>
            </w: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705,6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98,4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100,0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100,7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97,8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99,3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lastRenderedPageBreak/>
              <w:t>Внешнеторговый оборот</w:t>
            </w:r>
            <w:r w:rsidRPr="00D5148E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D5148E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</w:t>
            </w:r>
            <w:r w:rsidRPr="00D5148E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44,2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5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119,9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88,3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BC4">
              <w:rPr>
                <w:rFonts w:ascii="Arial" w:hAnsi="Arial" w:cs="Arial"/>
                <w:color w:val="00B050"/>
                <w:sz w:val="20"/>
                <w:szCs w:val="20"/>
              </w:rPr>
              <w:t>128,8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78,7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95,6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74,5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26,1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BC4">
              <w:rPr>
                <w:rFonts w:ascii="Arial" w:hAnsi="Arial" w:cs="Arial"/>
                <w:color w:val="00B050"/>
                <w:sz w:val="20"/>
                <w:szCs w:val="20"/>
              </w:rPr>
              <w:t>131,8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70,8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119,6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96,6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124,1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капитал,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2202</w:t>
            </w:r>
            <w:r w:rsidRPr="00D5148E">
              <w:rPr>
                <w:rFonts w:ascii="Arial" w:hAnsi="Arial" w:cs="Arial"/>
                <w:sz w:val="20"/>
                <w:szCs w:val="20"/>
              </w:rPr>
              <w:t>,2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102,3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37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98,8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2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C8">
              <w:rPr>
                <w:rFonts w:ascii="Arial" w:hAnsi="Arial" w:cs="Arial"/>
                <w:color w:val="00B050"/>
                <w:sz w:val="20"/>
                <w:szCs w:val="20"/>
              </w:rPr>
              <w:t>104,4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107,3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107,9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Индекс цен производителей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промышленных товаров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99</w:t>
            </w: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6AC8">
              <w:rPr>
                <w:rFonts w:ascii="Arial" w:hAnsi="Arial" w:cs="Arial"/>
                <w:color w:val="FF0000"/>
                <w:sz w:val="20"/>
                <w:szCs w:val="20"/>
              </w:rPr>
              <w:t>110,4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104,0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D5148E">
              <w:rPr>
                <w:rFonts w:ascii="Arial" w:hAnsi="Arial" w:cs="Arial"/>
                <w:bCs/>
                <w:sz w:val="20"/>
                <w:szCs w:val="20"/>
              </w:rPr>
              <w:t xml:space="preserve">Реальные располагаемые </w:t>
            </w:r>
            <w:r w:rsidRPr="00D5148E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денежные доходы</w:t>
            </w:r>
            <w:r w:rsidRPr="00D5148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  <w:proofErr w:type="gramEnd"/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BC4">
              <w:rPr>
                <w:rFonts w:ascii="Arial" w:hAnsi="Arial" w:cs="Arial"/>
                <w:color w:val="FF0000"/>
                <w:sz w:val="20"/>
                <w:szCs w:val="20"/>
              </w:rPr>
              <w:t>98,2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94,4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заработная плата работников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организаций:</w:t>
            </w:r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номинальная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, рублей</w:t>
            </w:r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40640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107,9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102,0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107,4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108,4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102,1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107,5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1000" w:type="dxa"/>
            <w:vAlign w:val="center"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103,7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10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101,6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10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102,9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10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Общая численность безработных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(в возрасте 15-72 лет),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млн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5148E">
              <w:rPr>
                <w:rFonts w:ascii="Arial" w:hAnsi="Arial" w:cs="Arial"/>
                <w:sz w:val="20"/>
                <w:szCs w:val="20"/>
              </w:rPr>
              <w:t>,</w:t>
            </w:r>
            <w:r w:rsidRPr="00D5148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11</w:t>
            </w:r>
            <w:r w:rsidRPr="00D514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460FA6" w:rsidRPr="00D5148E" w:rsidTr="00E95E4F">
        <w:tc>
          <w:tcPr>
            <w:tcW w:w="283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 xml:space="preserve">Численность официально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зарегистрированных </w:t>
            </w:r>
            <w:r w:rsidRPr="00D5148E">
              <w:rPr>
                <w:rFonts w:ascii="Arial" w:hAnsi="Arial" w:cs="Arial"/>
                <w:sz w:val="20"/>
                <w:szCs w:val="20"/>
              </w:rPr>
              <w:br/>
              <w:t xml:space="preserve"> безработных, </w:t>
            </w:r>
            <w:proofErr w:type="spellStart"/>
            <w:r w:rsidRPr="00D5148E">
              <w:rPr>
                <w:rFonts w:ascii="Arial" w:hAnsi="Arial" w:cs="Arial"/>
                <w:sz w:val="20"/>
                <w:szCs w:val="20"/>
              </w:rPr>
              <w:t>млн</w:t>
            </w:r>
            <w:proofErr w:type="gramStart"/>
            <w:r w:rsidRPr="00D5148E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D5148E">
              <w:rPr>
                <w:rFonts w:ascii="Arial" w:hAnsi="Arial" w:cs="Arial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1000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83,5</w:t>
            </w:r>
          </w:p>
        </w:tc>
        <w:tc>
          <w:tcPr>
            <w:tcW w:w="837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1295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851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992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1276" w:type="dxa"/>
            <w:vAlign w:val="center"/>
            <w:hideMark/>
          </w:tcPr>
          <w:p w:rsidR="00460FA6" w:rsidRPr="00D5148E" w:rsidRDefault="00460FA6" w:rsidP="00460FA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148E">
              <w:rPr>
                <w:rFonts w:ascii="Arial" w:hAnsi="Arial" w:cs="Arial"/>
                <w:color w:val="000000"/>
                <w:sz w:val="20"/>
                <w:szCs w:val="20"/>
              </w:rPr>
              <w:t>105,6</w:t>
            </w:r>
          </w:p>
        </w:tc>
      </w:tr>
      <w:tr w:rsidR="00E95E4F" w:rsidRPr="00D5148E" w:rsidTr="00E95E4F">
        <w:tc>
          <w:tcPr>
            <w:tcW w:w="9924" w:type="dxa"/>
            <w:gridSpan w:val="8"/>
            <w:vAlign w:val="center"/>
            <w:hideMark/>
          </w:tcPr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 xml:space="preserve">1) Данные за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квартал 2017г. (первая оценка).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 xml:space="preserve">2)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квартал 2017г. </w:t>
            </w: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4E6AC8">
              <w:rPr>
                <w:rFonts w:ascii="Arial" w:hAnsi="Arial" w:cs="Arial"/>
                <w:sz w:val="16"/>
                <w:szCs w:val="16"/>
              </w:rPr>
              <w:t xml:space="preserve"> % к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кварталу</w:t>
            </w:r>
            <w:proofErr w:type="gramEnd"/>
            <w:r w:rsidRPr="004E6AC8">
              <w:rPr>
                <w:rFonts w:ascii="Arial" w:hAnsi="Arial" w:cs="Arial"/>
                <w:sz w:val="16"/>
                <w:szCs w:val="16"/>
              </w:rPr>
              <w:t xml:space="preserve"> 2016 года.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 xml:space="preserve">3)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квартал 2016г. </w:t>
            </w: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4E6AC8">
              <w:rPr>
                <w:rFonts w:ascii="Arial" w:hAnsi="Arial" w:cs="Arial"/>
                <w:sz w:val="16"/>
                <w:szCs w:val="16"/>
              </w:rPr>
              <w:t xml:space="preserve"> % к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кварталу</w:t>
            </w:r>
            <w:proofErr w:type="gramEnd"/>
            <w:r w:rsidRPr="004E6AC8">
              <w:rPr>
                <w:rFonts w:ascii="Arial" w:hAnsi="Arial" w:cs="Arial"/>
                <w:sz w:val="16"/>
                <w:szCs w:val="16"/>
              </w:rPr>
              <w:t xml:space="preserve"> 2015 года.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>4) По видам деятельности "Добыча полезных ископаемых", "Обрабатывающие производства", "Обеспечение электрической энергией, газом  и паром; кондиционирование воздуха", "Водоснабжение; водоотведение, организация сбора и утилизации отходов, деятельность по ликвидации загрязнений".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>5) Данные за апрель 2017 года.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6) Апрель 2017г. и апрель 2016г. в % к соответствующему периоду предыдущего года, в фактически действовавших ценах.</w:t>
            </w:r>
            <w:proofErr w:type="gramEnd"/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7) Апрель 2017г. и апрель 2016г. в % к предыдущему месяцу, в фактически действовавших ценах.</w:t>
            </w:r>
            <w:proofErr w:type="gramEnd"/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E6AC8">
              <w:rPr>
                <w:rFonts w:ascii="Arial" w:hAnsi="Arial" w:cs="Arial"/>
                <w:sz w:val="16"/>
                <w:szCs w:val="16"/>
              </w:rPr>
              <w:t>8) Январь-апрель 2017г. и январь-апрель 2016г. в % к соответствующему периоду предыдущего года, в фактически действовавших ценах.</w:t>
            </w:r>
            <w:proofErr w:type="gramEnd"/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 xml:space="preserve">9) Данные за </w:t>
            </w:r>
            <w:r w:rsidRPr="004E6AC8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4E6AC8">
              <w:rPr>
                <w:rFonts w:ascii="Arial" w:hAnsi="Arial" w:cs="Arial"/>
                <w:sz w:val="16"/>
                <w:szCs w:val="16"/>
              </w:rPr>
              <w:t xml:space="preserve"> квартал 2017 года.</w:t>
            </w:r>
          </w:p>
          <w:p w:rsidR="00460FA6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>10) Оценка.</w:t>
            </w:r>
          </w:p>
          <w:p w:rsidR="00CD7BC4" w:rsidRPr="004E6AC8" w:rsidRDefault="00460FA6" w:rsidP="00CD7BC4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E6AC8">
              <w:rPr>
                <w:rFonts w:ascii="Arial" w:hAnsi="Arial" w:cs="Arial"/>
                <w:sz w:val="16"/>
                <w:szCs w:val="16"/>
              </w:rPr>
              <w:t>11) Предварительные данные.</w:t>
            </w:r>
            <w:r w:rsidR="00CD7BC4" w:rsidRPr="004E6A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60FA6" w:rsidRPr="00D5148E" w:rsidRDefault="00CD7BC4" w:rsidP="00CD7BC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5148E">
              <w:rPr>
                <w:rFonts w:ascii="Arial" w:hAnsi="Arial" w:cs="Arial"/>
                <w:sz w:val="20"/>
                <w:szCs w:val="20"/>
              </w:rPr>
              <w:t>(</w:t>
            </w:r>
            <w:r w:rsidRPr="00DE2E27">
              <w:rPr>
                <w:rFonts w:ascii="Arial" w:hAnsi="Arial" w:cs="Arial"/>
                <w:color w:val="FF0000"/>
                <w:sz w:val="20"/>
                <w:szCs w:val="20"/>
              </w:rPr>
              <w:t xml:space="preserve">Красным шрифтом </w:t>
            </w:r>
            <w:r w:rsidRPr="00D5148E">
              <w:rPr>
                <w:rFonts w:ascii="Arial" w:hAnsi="Arial" w:cs="Arial"/>
                <w:sz w:val="20"/>
                <w:szCs w:val="20"/>
              </w:rPr>
              <w:t xml:space="preserve">– отрицательная динамика, </w:t>
            </w:r>
            <w:r w:rsidRPr="00DE2E27">
              <w:rPr>
                <w:rFonts w:ascii="Arial" w:hAnsi="Arial" w:cs="Arial"/>
                <w:color w:val="00B050"/>
                <w:sz w:val="20"/>
                <w:szCs w:val="20"/>
              </w:rPr>
              <w:t xml:space="preserve">Зелёным </w:t>
            </w:r>
            <w:r w:rsidRPr="00D5148E">
              <w:rPr>
                <w:rFonts w:ascii="Arial" w:hAnsi="Arial" w:cs="Arial"/>
                <w:sz w:val="20"/>
                <w:szCs w:val="20"/>
              </w:rPr>
              <w:t>– выше общей среднемировой динамики, Черным – без значимой динамики)</w:t>
            </w:r>
          </w:p>
        </w:tc>
      </w:tr>
    </w:tbl>
    <w:p w:rsidR="00100CF7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Среди положительных тенденций </w:t>
      </w:r>
      <w:r w:rsidR="00D44A90">
        <w:rPr>
          <w:rFonts w:ascii="Arial" w:hAnsi="Arial" w:cs="Arial"/>
          <w:sz w:val="20"/>
          <w:szCs w:val="20"/>
        </w:rPr>
        <w:t xml:space="preserve">по сравнению с </w:t>
      </w:r>
      <w:r w:rsidR="00C152D4">
        <w:rPr>
          <w:rFonts w:ascii="Arial" w:hAnsi="Arial" w:cs="Arial"/>
          <w:sz w:val="20"/>
          <w:szCs w:val="20"/>
        </w:rPr>
        <w:t>аналогичным периодом</w:t>
      </w:r>
      <w:r w:rsidR="00D44A90">
        <w:rPr>
          <w:rFonts w:ascii="Arial" w:hAnsi="Arial" w:cs="Arial"/>
          <w:sz w:val="20"/>
          <w:szCs w:val="20"/>
        </w:rPr>
        <w:t xml:space="preserve"> 2016 года </w:t>
      </w:r>
      <w:r>
        <w:rPr>
          <w:rFonts w:ascii="Arial" w:hAnsi="Arial" w:cs="Arial"/>
          <w:sz w:val="20"/>
          <w:szCs w:val="20"/>
        </w:rPr>
        <w:t>н</w:t>
      </w:r>
      <w:r w:rsidRPr="000E5AD4">
        <w:rPr>
          <w:rFonts w:ascii="Arial" w:hAnsi="Arial" w:cs="Arial"/>
          <w:sz w:val="20"/>
          <w:szCs w:val="20"/>
        </w:rPr>
        <w:t xml:space="preserve">аблюдаем </w:t>
      </w:r>
      <w:r w:rsidR="00C1122E">
        <w:rPr>
          <w:rFonts w:ascii="Arial" w:hAnsi="Arial" w:cs="Arial"/>
          <w:sz w:val="20"/>
          <w:szCs w:val="20"/>
        </w:rPr>
        <w:t>снижение инфляции до 4,</w:t>
      </w:r>
      <w:r w:rsidR="004E6AC8">
        <w:rPr>
          <w:rFonts w:ascii="Arial" w:hAnsi="Arial" w:cs="Arial"/>
          <w:sz w:val="20"/>
          <w:szCs w:val="20"/>
        </w:rPr>
        <w:t>4</w:t>
      </w:r>
      <w:r w:rsidR="00C1122E">
        <w:rPr>
          <w:rFonts w:ascii="Arial" w:hAnsi="Arial" w:cs="Arial"/>
          <w:sz w:val="20"/>
          <w:szCs w:val="20"/>
        </w:rPr>
        <w:t xml:space="preserve"> %, </w:t>
      </w:r>
      <w:r>
        <w:rPr>
          <w:rFonts w:ascii="Arial" w:hAnsi="Arial" w:cs="Arial"/>
          <w:sz w:val="20"/>
          <w:szCs w:val="20"/>
        </w:rPr>
        <w:t>ощутимый рост грузоперевозок</w:t>
      </w:r>
      <w:r w:rsidR="004E6AC8">
        <w:rPr>
          <w:rFonts w:ascii="Arial" w:hAnsi="Arial" w:cs="Arial"/>
          <w:sz w:val="20"/>
          <w:szCs w:val="20"/>
        </w:rPr>
        <w:t xml:space="preserve"> (+7</w:t>
      </w:r>
      <w:r w:rsidR="00C1122E">
        <w:rPr>
          <w:rFonts w:ascii="Arial" w:hAnsi="Arial" w:cs="Arial"/>
          <w:sz w:val="20"/>
          <w:szCs w:val="20"/>
        </w:rPr>
        <w:t>,</w:t>
      </w:r>
      <w:r w:rsidR="004E6AC8">
        <w:rPr>
          <w:rFonts w:ascii="Arial" w:hAnsi="Arial" w:cs="Arial"/>
          <w:sz w:val="20"/>
          <w:szCs w:val="20"/>
        </w:rPr>
        <w:t>0</w:t>
      </w:r>
      <w:r w:rsidR="00C1122E">
        <w:rPr>
          <w:rFonts w:ascii="Arial" w:hAnsi="Arial" w:cs="Arial"/>
          <w:sz w:val="20"/>
          <w:szCs w:val="20"/>
        </w:rPr>
        <w:t xml:space="preserve"> %)</w:t>
      </w:r>
      <w:r w:rsidR="004E6AC8">
        <w:rPr>
          <w:rFonts w:ascii="Arial" w:hAnsi="Arial" w:cs="Arial"/>
          <w:sz w:val="20"/>
          <w:szCs w:val="20"/>
        </w:rPr>
        <w:t xml:space="preserve"> (что подтверждает общий рост деловой активности</w:t>
      </w:r>
      <w:r w:rsidR="00DE2E2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 внешнеторгового оборота </w:t>
      </w:r>
      <w:r w:rsidR="00DE2E27">
        <w:rPr>
          <w:rFonts w:ascii="Arial" w:hAnsi="Arial" w:cs="Arial"/>
          <w:sz w:val="20"/>
          <w:szCs w:val="20"/>
        </w:rPr>
        <w:t>(+28,8</w:t>
      </w:r>
      <w:r w:rsidR="00E50EEB">
        <w:rPr>
          <w:rFonts w:ascii="Arial" w:hAnsi="Arial" w:cs="Arial"/>
          <w:sz w:val="20"/>
          <w:szCs w:val="20"/>
        </w:rPr>
        <w:t>%</w:t>
      </w:r>
      <w:r w:rsidR="00C152D4">
        <w:rPr>
          <w:rFonts w:ascii="Arial" w:hAnsi="Arial" w:cs="Arial"/>
          <w:sz w:val="20"/>
          <w:szCs w:val="20"/>
        </w:rPr>
        <w:t xml:space="preserve"> с</w:t>
      </w:r>
      <w:r w:rsidR="00E50E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положительн</w:t>
      </w:r>
      <w:r w:rsidR="00C152D4">
        <w:rPr>
          <w:rFonts w:ascii="Arial" w:hAnsi="Arial" w:cs="Arial"/>
          <w:sz w:val="20"/>
          <w:szCs w:val="20"/>
        </w:rPr>
        <w:t>ым</w:t>
      </w:r>
      <w:r>
        <w:rPr>
          <w:rFonts w:ascii="Arial" w:hAnsi="Arial" w:cs="Arial"/>
          <w:sz w:val="20"/>
          <w:szCs w:val="20"/>
        </w:rPr>
        <w:t xml:space="preserve"> </w:t>
      </w:r>
      <w:r w:rsidR="00DE2E27">
        <w:rPr>
          <w:rFonts w:ascii="Arial" w:hAnsi="Arial" w:cs="Arial"/>
          <w:sz w:val="20"/>
          <w:szCs w:val="20"/>
        </w:rPr>
        <w:t xml:space="preserve">(+44,2%) </w:t>
      </w:r>
      <w:r>
        <w:rPr>
          <w:rFonts w:ascii="Arial" w:hAnsi="Arial" w:cs="Arial"/>
          <w:sz w:val="20"/>
          <w:szCs w:val="20"/>
        </w:rPr>
        <w:t>сальдо</w:t>
      </w:r>
      <w:r w:rsidR="00DE2E27">
        <w:rPr>
          <w:rFonts w:ascii="Arial" w:hAnsi="Arial" w:cs="Arial"/>
          <w:sz w:val="20"/>
          <w:szCs w:val="20"/>
        </w:rPr>
        <w:t xml:space="preserve"> торгового баланса</w:t>
      </w:r>
      <w:r>
        <w:rPr>
          <w:rFonts w:ascii="Arial" w:hAnsi="Arial" w:cs="Arial"/>
          <w:sz w:val="20"/>
          <w:szCs w:val="20"/>
        </w:rPr>
        <w:t xml:space="preserve">), </w:t>
      </w:r>
      <w:r w:rsidR="00C1122E">
        <w:rPr>
          <w:rFonts w:ascii="Arial" w:hAnsi="Arial" w:cs="Arial"/>
          <w:sz w:val="20"/>
          <w:szCs w:val="20"/>
        </w:rPr>
        <w:t xml:space="preserve">а также </w:t>
      </w:r>
      <w:r>
        <w:rPr>
          <w:rFonts w:ascii="Arial" w:hAnsi="Arial" w:cs="Arial"/>
          <w:sz w:val="20"/>
          <w:szCs w:val="20"/>
        </w:rPr>
        <w:t xml:space="preserve">рост реальной зарплаты </w:t>
      </w:r>
      <w:r w:rsidR="00C1122E">
        <w:rPr>
          <w:rFonts w:ascii="Arial" w:hAnsi="Arial" w:cs="Arial"/>
          <w:sz w:val="20"/>
          <w:szCs w:val="20"/>
        </w:rPr>
        <w:t>(</w:t>
      </w:r>
      <w:r w:rsidR="00C152D4">
        <w:rPr>
          <w:rFonts w:ascii="Arial" w:hAnsi="Arial" w:cs="Arial"/>
          <w:sz w:val="20"/>
          <w:szCs w:val="20"/>
        </w:rPr>
        <w:t>+2,</w:t>
      </w:r>
      <w:r w:rsidR="00DE2E27">
        <w:rPr>
          <w:rFonts w:ascii="Arial" w:hAnsi="Arial" w:cs="Arial"/>
          <w:sz w:val="20"/>
          <w:szCs w:val="20"/>
        </w:rPr>
        <w:t>9</w:t>
      </w:r>
      <w:r w:rsidR="00C1122E">
        <w:rPr>
          <w:rFonts w:ascii="Arial" w:hAnsi="Arial" w:cs="Arial"/>
          <w:sz w:val="20"/>
          <w:szCs w:val="20"/>
        </w:rPr>
        <w:t xml:space="preserve">%) </w:t>
      </w:r>
      <w:r>
        <w:rPr>
          <w:rFonts w:ascii="Arial" w:hAnsi="Arial" w:cs="Arial"/>
          <w:sz w:val="20"/>
          <w:szCs w:val="20"/>
        </w:rPr>
        <w:t>и снижение числа безработных</w:t>
      </w:r>
      <w:r w:rsidR="000B206B">
        <w:rPr>
          <w:rFonts w:ascii="Arial" w:hAnsi="Arial" w:cs="Arial"/>
          <w:sz w:val="20"/>
          <w:szCs w:val="20"/>
        </w:rPr>
        <w:t xml:space="preserve"> (-7,</w:t>
      </w:r>
      <w:r w:rsidR="00DE2E27">
        <w:rPr>
          <w:rFonts w:ascii="Arial" w:hAnsi="Arial" w:cs="Arial"/>
          <w:sz w:val="20"/>
          <w:szCs w:val="20"/>
        </w:rPr>
        <w:t>3</w:t>
      </w:r>
      <w:r w:rsidR="00C1122E">
        <w:rPr>
          <w:rFonts w:ascii="Arial" w:hAnsi="Arial" w:cs="Arial"/>
          <w:sz w:val="20"/>
          <w:szCs w:val="20"/>
        </w:rPr>
        <w:t xml:space="preserve"> %).</w:t>
      </w:r>
    </w:p>
    <w:p w:rsidR="001301A5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Среди отрицательных</w:t>
      </w:r>
      <w:r w:rsidR="00461E59">
        <w:rPr>
          <w:rFonts w:ascii="Arial" w:hAnsi="Arial" w:cs="Arial"/>
          <w:sz w:val="20"/>
          <w:szCs w:val="20"/>
        </w:rPr>
        <w:t>:</w:t>
      </w:r>
      <w:r w:rsidR="00C1122E">
        <w:rPr>
          <w:rFonts w:ascii="Arial" w:hAnsi="Arial" w:cs="Arial"/>
          <w:sz w:val="20"/>
          <w:szCs w:val="20"/>
        </w:rPr>
        <w:t xml:space="preserve"> рост цен промтоваров (+1</w:t>
      </w:r>
      <w:r w:rsidR="00DE2E27">
        <w:rPr>
          <w:rFonts w:ascii="Arial" w:hAnsi="Arial" w:cs="Arial"/>
          <w:sz w:val="20"/>
          <w:szCs w:val="20"/>
        </w:rPr>
        <w:t>0,4</w:t>
      </w:r>
      <w:r w:rsidR="00C1122E">
        <w:rPr>
          <w:rFonts w:ascii="Arial" w:hAnsi="Arial" w:cs="Arial"/>
          <w:sz w:val="20"/>
          <w:szCs w:val="20"/>
        </w:rPr>
        <w:t xml:space="preserve"> %), </w:t>
      </w:r>
      <w:r w:rsidR="0026024C">
        <w:rPr>
          <w:rFonts w:ascii="Arial" w:hAnsi="Arial" w:cs="Arial"/>
          <w:sz w:val="20"/>
          <w:szCs w:val="20"/>
        </w:rPr>
        <w:t>сохраняется снижение реальных доходов населения (-1,8%).</w:t>
      </w:r>
    </w:p>
    <w:p w:rsidR="00461E59" w:rsidRDefault="00E95E4F" w:rsidP="00461E59">
      <w:pPr>
        <w:spacing w:after="0" w:line="240" w:lineRule="auto"/>
        <w:ind w:firstLine="4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Объем выпуска</w:t>
      </w:r>
      <w:r w:rsidR="00461E59" w:rsidRPr="009B2FF3">
        <w:rPr>
          <w:rFonts w:ascii="Arial" w:hAnsi="Arial" w:cs="Arial"/>
          <w:b/>
          <w:sz w:val="20"/>
          <w:szCs w:val="20"/>
        </w:rPr>
        <w:t xml:space="preserve"> обрабатывающей промышленности</w:t>
      </w:r>
      <w:r w:rsidR="00461E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возрос на 0,9%. Н</w:t>
      </w:r>
      <w:r w:rsidR="0066736E">
        <w:rPr>
          <w:rFonts w:ascii="Arial" w:hAnsi="Arial" w:cs="Arial"/>
          <w:sz w:val="20"/>
          <w:szCs w:val="20"/>
        </w:rPr>
        <w:t>аблюдае</w:t>
      </w:r>
      <w:r>
        <w:rPr>
          <w:rFonts w:ascii="Arial" w:hAnsi="Arial" w:cs="Arial"/>
          <w:sz w:val="20"/>
          <w:szCs w:val="20"/>
        </w:rPr>
        <w:t xml:space="preserve">тся </w:t>
      </w:r>
      <w:r w:rsidR="0066736E">
        <w:rPr>
          <w:rFonts w:ascii="Arial" w:hAnsi="Arial" w:cs="Arial"/>
          <w:sz w:val="20"/>
          <w:szCs w:val="20"/>
        </w:rPr>
        <w:t>значительный рост импортозамещающих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электрооборудования, транспортных средств</w:t>
      </w:r>
      <w:r w:rsidR="0066736E">
        <w:rPr>
          <w:rFonts w:ascii="Arial" w:hAnsi="Arial" w:cs="Arial"/>
          <w:sz w:val="20"/>
          <w:szCs w:val="20"/>
        </w:rPr>
        <w:t>:</w:t>
      </w:r>
    </w:p>
    <w:tbl>
      <w:tblPr>
        <w:tblW w:w="9925" w:type="dxa"/>
        <w:jc w:val="center"/>
        <w:tblInd w:w="-2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1134"/>
        <w:gridCol w:w="1701"/>
      </w:tblGrid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i/>
                <w:sz w:val="20"/>
                <w:szCs w:val="20"/>
              </w:rPr>
              <w:t xml:space="preserve">Май 2017г. </w:t>
            </w:r>
            <w:proofErr w:type="gramStart"/>
            <w:r w:rsidRPr="009163A1">
              <w:rPr>
                <w:rFonts w:ascii="Arial" w:hAnsi="Arial" w:cs="Arial"/>
                <w:i/>
                <w:sz w:val="20"/>
                <w:szCs w:val="20"/>
              </w:rPr>
              <w:t>в</w:t>
            </w:r>
            <w:proofErr w:type="gramEnd"/>
            <w:r w:rsidRPr="009163A1">
              <w:rPr>
                <w:rFonts w:ascii="Arial" w:hAnsi="Arial" w:cs="Arial"/>
                <w:i/>
                <w:sz w:val="20"/>
                <w:szCs w:val="20"/>
              </w:rPr>
              <w:t xml:space="preserve"> % к маю</w:t>
            </w:r>
            <w:r w:rsidRPr="009163A1">
              <w:rPr>
                <w:rFonts w:ascii="Arial" w:hAnsi="Arial" w:cs="Arial"/>
                <w:i/>
                <w:sz w:val="20"/>
                <w:szCs w:val="20"/>
              </w:rPr>
              <w:br/>
              <w:t>2016г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9163A1" w:rsidRPr="009163A1" w:rsidRDefault="00C75547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Январь-май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2017г.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% 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январю-</w:t>
            </w:r>
            <w:r w:rsidR="009163A1" w:rsidRPr="009163A1">
              <w:rPr>
                <w:rFonts w:ascii="Arial" w:hAnsi="Arial" w:cs="Arial"/>
                <w:b/>
                <w:i/>
                <w:sz w:val="20"/>
                <w:szCs w:val="20"/>
              </w:rPr>
              <w:t>маю</w:t>
            </w:r>
            <w:r w:rsidR="009163A1" w:rsidRPr="009163A1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2016г.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105,7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sz w:val="20"/>
                <w:szCs w:val="20"/>
              </w:rPr>
              <w:t>100,9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107,0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63A1">
              <w:rPr>
                <w:rFonts w:ascii="Arial" w:hAnsi="Arial" w:cs="Arial"/>
                <w:b/>
                <w:sz w:val="20"/>
                <w:szCs w:val="20"/>
              </w:rPr>
              <w:t>103,9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напитков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95,8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sz w:val="20"/>
                <w:szCs w:val="20"/>
              </w:rPr>
              <w:t>100,7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табачных изделий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86,8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79,3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106,7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104,7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109,2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кожи и изделий из кожи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103,0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105,8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обработка древесины и производство изделий из дерева и пробки,</w:t>
            </w:r>
            <w:r w:rsidRPr="009163A1">
              <w:rPr>
                <w:rFonts w:ascii="Arial" w:hAnsi="Arial" w:cs="Arial"/>
                <w:sz w:val="20"/>
                <w:szCs w:val="20"/>
              </w:rPr>
              <w:br/>
              <w:t xml:space="preserve">    кроме мебели, производство изделий из соломки</w:t>
            </w:r>
            <w:r w:rsidRPr="009163A1">
              <w:rPr>
                <w:rFonts w:ascii="Arial" w:hAnsi="Arial" w:cs="Arial"/>
                <w:sz w:val="20"/>
                <w:szCs w:val="20"/>
              </w:rPr>
              <w:br/>
              <w:t xml:space="preserve">    и материалов для плетения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103,3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sz w:val="20"/>
                <w:szCs w:val="20"/>
              </w:rPr>
              <w:t>103,1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lastRenderedPageBreak/>
              <w:t>производство бумаги и бумажных изделий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102,1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107,4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101,8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sz w:val="20"/>
                <w:szCs w:val="20"/>
              </w:rPr>
              <w:t>100,0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109,7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107,5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</w:t>
            </w:r>
            <w:r w:rsidRPr="009163A1">
              <w:rPr>
                <w:rFonts w:ascii="Arial" w:hAnsi="Arial" w:cs="Arial"/>
                <w:sz w:val="20"/>
                <w:szCs w:val="20"/>
              </w:rPr>
              <w:br/>
              <w:t xml:space="preserve">   применяемых в медицинских целях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114,2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112,6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108,0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105,0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98,3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94,4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 xml:space="preserve">производство готовых металлических изделий, </w:t>
            </w:r>
            <w:r w:rsidRPr="009163A1">
              <w:rPr>
                <w:rFonts w:ascii="Arial" w:hAnsi="Arial" w:cs="Arial"/>
                <w:sz w:val="20"/>
                <w:szCs w:val="20"/>
              </w:rPr>
              <w:br/>
              <w:t xml:space="preserve">   кроме машин и оборудования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101,1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94,1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110,6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96,3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116,0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106,4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 xml:space="preserve">производство машин и оборудования, </w:t>
            </w:r>
            <w:r w:rsidRPr="009163A1">
              <w:rPr>
                <w:rFonts w:ascii="Arial" w:hAnsi="Arial" w:cs="Arial"/>
                <w:sz w:val="20"/>
                <w:szCs w:val="20"/>
              </w:rPr>
              <w:br/>
              <w:t xml:space="preserve">   не </w:t>
            </w:r>
            <w:proofErr w:type="spellStart"/>
            <w:r w:rsidRPr="009163A1">
              <w:rPr>
                <w:rFonts w:ascii="Arial" w:hAnsi="Arial" w:cs="Arial"/>
                <w:sz w:val="20"/>
                <w:szCs w:val="20"/>
              </w:rPr>
              <w:t>включенных</w:t>
            </w:r>
            <w:proofErr w:type="spellEnd"/>
            <w:r w:rsidRPr="009163A1">
              <w:rPr>
                <w:rFonts w:ascii="Arial" w:hAnsi="Arial" w:cs="Arial"/>
                <w:sz w:val="20"/>
                <w:szCs w:val="20"/>
              </w:rPr>
              <w:t xml:space="preserve"> в другие группировки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97,8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102,6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113,8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122,2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107,7</w:t>
            </w:r>
          </w:p>
        </w:tc>
      </w:tr>
      <w:tr w:rsidR="009163A1" w:rsidRPr="009163A1" w:rsidTr="00C75547">
        <w:trPr>
          <w:cantSplit/>
          <w:trHeight w:val="20"/>
          <w:jc w:val="center"/>
        </w:trPr>
        <w:tc>
          <w:tcPr>
            <w:tcW w:w="7090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E95E4F">
            <w:pPr>
              <w:spacing w:after="0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9163A1">
              <w:rPr>
                <w:rFonts w:ascii="Arial" w:hAnsi="Arial" w:cs="Arial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1134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sz w:val="20"/>
                <w:szCs w:val="20"/>
              </w:rPr>
              <w:t>102,2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9163A1" w:rsidRPr="009163A1" w:rsidRDefault="009163A1" w:rsidP="009163A1">
            <w:pPr>
              <w:spacing w:after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163A1">
              <w:rPr>
                <w:rFonts w:ascii="Arial" w:eastAsia="Arial Unicode MS" w:hAnsi="Arial" w:cs="Arial"/>
                <w:b/>
                <w:sz w:val="20"/>
                <w:szCs w:val="20"/>
              </w:rPr>
              <w:t>100,3</w:t>
            </w:r>
          </w:p>
        </w:tc>
      </w:tr>
    </w:tbl>
    <w:p w:rsidR="00040C4B" w:rsidRDefault="003F5F3E" w:rsidP="003F5F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461E59" w:rsidRPr="007B0B29" w:rsidRDefault="001301A5" w:rsidP="007B0B29">
      <w:pPr>
        <w:spacing w:before="120" w:after="0" w:line="240" w:lineRule="auto"/>
        <w:ind w:firstLine="720"/>
        <w:rPr>
          <w:sz w:val="20"/>
        </w:rPr>
      </w:pPr>
      <w:r w:rsidRPr="00462754">
        <w:rPr>
          <w:rFonts w:ascii="Arial" w:hAnsi="Arial" w:cs="Arial"/>
          <w:b/>
          <w:sz w:val="20"/>
          <w:szCs w:val="20"/>
        </w:rPr>
        <w:t>Объёмы строительно-монтажных работ</w:t>
      </w:r>
      <w:r>
        <w:rPr>
          <w:rFonts w:ascii="Arial" w:hAnsi="Arial" w:cs="Arial"/>
          <w:sz w:val="20"/>
          <w:szCs w:val="20"/>
        </w:rPr>
        <w:t xml:space="preserve"> </w:t>
      </w:r>
      <w:r w:rsidR="005F4C89">
        <w:rPr>
          <w:rFonts w:ascii="Arial" w:hAnsi="Arial" w:cs="Arial"/>
          <w:sz w:val="20"/>
          <w:szCs w:val="20"/>
        </w:rPr>
        <w:t xml:space="preserve">в сопоставимых ценах в январе - </w:t>
      </w:r>
      <w:r w:rsidR="00C82E76">
        <w:rPr>
          <w:rFonts w:ascii="Arial" w:hAnsi="Arial" w:cs="Arial"/>
          <w:sz w:val="20"/>
          <w:szCs w:val="20"/>
        </w:rPr>
        <w:t>мае</w:t>
      </w:r>
      <w:r w:rsidR="005F4C89">
        <w:rPr>
          <w:rFonts w:ascii="Arial" w:hAnsi="Arial" w:cs="Arial"/>
          <w:sz w:val="20"/>
          <w:szCs w:val="20"/>
        </w:rPr>
        <w:t xml:space="preserve"> 2017</w:t>
      </w:r>
      <w:r w:rsidR="00C82E76">
        <w:rPr>
          <w:rFonts w:ascii="Arial" w:hAnsi="Arial" w:cs="Arial"/>
          <w:sz w:val="20"/>
          <w:szCs w:val="20"/>
        </w:rPr>
        <w:t xml:space="preserve"> </w:t>
      </w:r>
      <w:r w:rsidR="005F4C89">
        <w:rPr>
          <w:rFonts w:ascii="Arial" w:hAnsi="Arial" w:cs="Arial"/>
          <w:sz w:val="20"/>
          <w:szCs w:val="20"/>
        </w:rPr>
        <w:t xml:space="preserve">г. </w:t>
      </w:r>
      <w:r>
        <w:rPr>
          <w:rFonts w:ascii="Arial" w:hAnsi="Arial" w:cs="Arial"/>
          <w:sz w:val="20"/>
          <w:szCs w:val="20"/>
        </w:rPr>
        <w:t xml:space="preserve">снизились по сравнению с </w:t>
      </w:r>
      <w:r w:rsidR="00C82E76">
        <w:rPr>
          <w:rFonts w:ascii="Arial" w:hAnsi="Arial" w:cs="Arial"/>
          <w:sz w:val="20"/>
          <w:szCs w:val="20"/>
        </w:rPr>
        <w:t xml:space="preserve">аналогичным периодом </w:t>
      </w:r>
      <w:r>
        <w:rPr>
          <w:rFonts w:ascii="Arial" w:hAnsi="Arial" w:cs="Arial"/>
          <w:sz w:val="20"/>
          <w:szCs w:val="20"/>
        </w:rPr>
        <w:t>прошл</w:t>
      </w:r>
      <w:r w:rsidR="00C82E76">
        <w:rPr>
          <w:rFonts w:ascii="Arial" w:hAnsi="Arial" w:cs="Arial"/>
          <w:sz w:val="20"/>
          <w:szCs w:val="20"/>
        </w:rPr>
        <w:t>ого</w:t>
      </w:r>
      <w:r>
        <w:rPr>
          <w:rFonts w:ascii="Arial" w:hAnsi="Arial" w:cs="Arial"/>
          <w:sz w:val="20"/>
          <w:szCs w:val="20"/>
        </w:rPr>
        <w:t xml:space="preserve"> год</w:t>
      </w:r>
      <w:r w:rsidR="00C82E76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5768D2">
        <w:rPr>
          <w:rFonts w:ascii="Arial" w:hAnsi="Arial" w:cs="Arial"/>
          <w:sz w:val="20"/>
          <w:szCs w:val="20"/>
        </w:rPr>
        <w:t>(-</w:t>
      </w:r>
      <w:r w:rsidR="00C82E7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,</w:t>
      </w:r>
      <w:r w:rsidR="00C82E7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%</w:t>
      </w:r>
      <w:r w:rsidR="00C82E76">
        <w:rPr>
          <w:rFonts w:ascii="Arial" w:hAnsi="Arial" w:cs="Arial"/>
          <w:sz w:val="20"/>
          <w:szCs w:val="20"/>
        </w:rPr>
        <w:t xml:space="preserve">) и составили  </w:t>
      </w:r>
      <w:r w:rsidR="00C82E76" w:rsidRPr="00C82E76">
        <w:rPr>
          <w:rFonts w:ascii="Arial" w:hAnsi="Arial" w:cs="Arial"/>
          <w:sz w:val="20"/>
          <w:szCs w:val="20"/>
        </w:rPr>
        <w:t xml:space="preserve">1869,5 </w:t>
      </w:r>
      <w:proofErr w:type="gramStart"/>
      <w:r w:rsidR="00C82E76" w:rsidRPr="00C82E76">
        <w:rPr>
          <w:rFonts w:ascii="Arial" w:hAnsi="Arial" w:cs="Arial"/>
          <w:sz w:val="20"/>
          <w:szCs w:val="20"/>
        </w:rPr>
        <w:t>млрд</w:t>
      </w:r>
      <w:proofErr w:type="gramEnd"/>
      <w:r w:rsidR="007B0B29">
        <w:rPr>
          <w:rFonts w:ascii="Arial" w:hAnsi="Arial" w:cs="Arial"/>
          <w:sz w:val="20"/>
          <w:szCs w:val="20"/>
        </w:rPr>
        <w:t xml:space="preserve"> </w:t>
      </w:r>
      <w:r w:rsidR="00C82E76" w:rsidRPr="00C82E76">
        <w:rPr>
          <w:rFonts w:ascii="Arial" w:hAnsi="Arial" w:cs="Arial"/>
          <w:sz w:val="20"/>
          <w:szCs w:val="20"/>
        </w:rPr>
        <w:t>рублей</w:t>
      </w:r>
      <w:r w:rsidR="00C82E76">
        <w:rPr>
          <w:rFonts w:ascii="Arial" w:hAnsi="Arial" w:cs="Arial"/>
          <w:sz w:val="20"/>
          <w:szCs w:val="20"/>
        </w:rPr>
        <w:t>.</w:t>
      </w:r>
      <w:r w:rsidR="005768D2">
        <w:rPr>
          <w:rFonts w:ascii="Arial" w:hAnsi="Arial" w:cs="Arial"/>
          <w:sz w:val="20"/>
          <w:szCs w:val="20"/>
        </w:rPr>
        <w:t xml:space="preserve"> </w:t>
      </w:r>
      <w:r w:rsidR="007B0B29" w:rsidRPr="007B0B29">
        <w:rPr>
          <w:rFonts w:ascii="Arial" w:hAnsi="Arial" w:cs="Arial"/>
          <w:bCs/>
          <w:sz w:val="20"/>
          <w:szCs w:val="20"/>
        </w:rPr>
        <w:t xml:space="preserve">В период январь – май введено в действие </w:t>
      </w:r>
      <w:r w:rsidR="007B0B29" w:rsidRPr="007B0B29">
        <w:rPr>
          <w:rFonts w:ascii="Arial" w:hAnsi="Arial" w:cs="Arial"/>
          <w:bCs/>
          <w:sz w:val="20"/>
          <w:szCs w:val="20"/>
        </w:rPr>
        <w:t>21,6 млн</w:t>
      </w:r>
      <w:proofErr w:type="gramStart"/>
      <w:r w:rsidR="007B0B29" w:rsidRPr="007B0B29">
        <w:rPr>
          <w:rFonts w:ascii="Arial" w:hAnsi="Arial" w:cs="Arial"/>
          <w:bCs/>
          <w:sz w:val="20"/>
          <w:szCs w:val="20"/>
        </w:rPr>
        <w:t>.м</w:t>
      </w:r>
      <w:proofErr w:type="gramEnd"/>
      <w:r w:rsidR="007B0B29" w:rsidRPr="007B0B29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7B0B29" w:rsidRPr="007B0B29">
        <w:rPr>
          <w:rFonts w:ascii="Arial" w:hAnsi="Arial" w:cs="Arial"/>
          <w:bCs/>
          <w:sz w:val="20"/>
          <w:szCs w:val="20"/>
        </w:rPr>
        <w:t xml:space="preserve"> общей площади </w:t>
      </w:r>
      <w:r w:rsidR="007B0B29" w:rsidRPr="007B0B29">
        <w:rPr>
          <w:rFonts w:ascii="Arial" w:hAnsi="Arial" w:cs="Arial"/>
          <w:bCs/>
          <w:sz w:val="20"/>
          <w:szCs w:val="20"/>
        </w:rPr>
        <w:t>жилых помещений</w:t>
      </w:r>
      <w:r w:rsidR="007B0B29" w:rsidRPr="007B0B29">
        <w:rPr>
          <w:rFonts w:ascii="Arial" w:hAnsi="Arial" w:cs="Arial"/>
          <w:bCs/>
          <w:sz w:val="20"/>
          <w:szCs w:val="20"/>
        </w:rPr>
        <w:t xml:space="preserve"> </w:t>
      </w:r>
      <w:r w:rsidR="007B0B29">
        <w:rPr>
          <w:rFonts w:ascii="Arial" w:hAnsi="Arial" w:cs="Arial"/>
          <w:bCs/>
          <w:sz w:val="20"/>
          <w:szCs w:val="20"/>
        </w:rPr>
        <w:t xml:space="preserve">(-12,6 </w:t>
      </w:r>
      <w:r w:rsidR="007B0B29" w:rsidRPr="007B0B29">
        <w:rPr>
          <w:rFonts w:ascii="Arial" w:hAnsi="Arial" w:cs="Arial"/>
          <w:bCs/>
          <w:sz w:val="20"/>
          <w:szCs w:val="20"/>
        </w:rPr>
        <w:t>%</w:t>
      </w:r>
      <w:r w:rsidR="007B0B29">
        <w:rPr>
          <w:rFonts w:ascii="Arial" w:hAnsi="Arial" w:cs="Arial"/>
          <w:bCs/>
          <w:sz w:val="20"/>
          <w:szCs w:val="20"/>
        </w:rPr>
        <w:t>).</w:t>
      </w:r>
    </w:p>
    <w:p w:rsidR="00256DA7" w:rsidRDefault="00256DA7" w:rsidP="00DC7D2C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Оценивая снижение объёмов СМР в 2015 - 2016 годах</w:t>
      </w:r>
      <w:r w:rsidR="00E467E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необходимо учитывать, что это произошло после </w:t>
      </w:r>
      <w:r w:rsidR="00C7506D">
        <w:rPr>
          <w:rFonts w:ascii="Arial" w:hAnsi="Arial" w:cs="Arial"/>
          <w:bCs/>
          <w:sz w:val="20"/>
          <w:szCs w:val="20"/>
        </w:rPr>
        <w:t>значите</w:t>
      </w:r>
      <w:r>
        <w:rPr>
          <w:rFonts w:ascii="Arial" w:hAnsi="Arial" w:cs="Arial"/>
          <w:bCs/>
          <w:sz w:val="20"/>
          <w:szCs w:val="20"/>
        </w:rPr>
        <w:t>льного роста объ</w:t>
      </w:r>
      <w:r w:rsidR="00E467E0">
        <w:rPr>
          <w:rFonts w:ascii="Arial" w:hAnsi="Arial" w:cs="Arial"/>
          <w:bCs/>
          <w:sz w:val="20"/>
          <w:szCs w:val="20"/>
        </w:rPr>
        <w:t>ёмов строительства</w:t>
      </w:r>
      <w:r w:rsidR="00E50EEB">
        <w:rPr>
          <w:rFonts w:ascii="Arial" w:hAnsi="Arial" w:cs="Arial"/>
          <w:bCs/>
          <w:sz w:val="20"/>
          <w:szCs w:val="20"/>
        </w:rPr>
        <w:t xml:space="preserve"> в предыдущие годы</w:t>
      </w:r>
      <w:r w:rsidR="00E467E0">
        <w:rPr>
          <w:rFonts w:ascii="Arial" w:hAnsi="Arial" w:cs="Arial"/>
          <w:bCs/>
          <w:sz w:val="20"/>
          <w:szCs w:val="20"/>
        </w:rPr>
        <w:t xml:space="preserve">. В 2015 </w:t>
      </w:r>
      <w:r w:rsidR="00E63FCF">
        <w:rPr>
          <w:rFonts w:ascii="Arial" w:hAnsi="Arial" w:cs="Arial"/>
          <w:bCs/>
          <w:sz w:val="20"/>
          <w:szCs w:val="20"/>
        </w:rPr>
        <w:t xml:space="preserve">«просевшем» </w:t>
      </w:r>
      <w:r w:rsidR="00E467E0">
        <w:rPr>
          <w:rFonts w:ascii="Arial" w:hAnsi="Arial" w:cs="Arial"/>
          <w:bCs/>
          <w:sz w:val="20"/>
          <w:szCs w:val="20"/>
        </w:rPr>
        <w:t>году введено в эксплуатацию квадратных метров жилья в 2,8 раза больше</w:t>
      </w:r>
      <w:r w:rsidR="001C4460">
        <w:rPr>
          <w:rFonts w:ascii="Arial" w:hAnsi="Arial" w:cs="Arial"/>
          <w:bCs/>
          <w:sz w:val="20"/>
          <w:szCs w:val="20"/>
        </w:rPr>
        <w:t>,</w:t>
      </w:r>
      <w:r w:rsidR="00E467E0">
        <w:rPr>
          <w:rFonts w:ascii="Arial" w:hAnsi="Arial" w:cs="Arial"/>
          <w:bCs/>
          <w:sz w:val="20"/>
          <w:szCs w:val="20"/>
        </w:rPr>
        <w:t xml:space="preserve"> чем в 2000 году. З</w:t>
      </w:r>
      <w:r>
        <w:rPr>
          <w:rFonts w:ascii="Arial" w:hAnsi="Arial" w:cs="Arial"/>
          <w:bCs/>
          <w:sz w:val="20"/>
          <w:szCs w:val="20"/>
        </w:rPr>
        <w:t xml:space="preserve">а 15 лет жилищный фонд РФ увеличился на 28,5 %, а  средняя обеспеченность </w:t>
      </w:r>
      <w:r w:rsidR="00E467E0">
        <w:rPr>
          <w:rFonts w:ascii="Arial" w:hAnsi="Arial" w:cs="Arial"/>
          <w:bCs/>
          <w:sz w:val="20"/>
          <w:szCs w:val="20"/>
        </w:rPr>
        <w:t>жильём</w:t>
      </w:r>
      <w:r>
        <w:rPr>
          <w:rFonts w:ascii="Arial" w:hAnsi="Arial" w:cs="Arial"/>
          <w:bCs/>
          <w:sz w:val="20"/>
          <w:szCs w:val="20"/>
        </w:rPr>
        <w:t xml:space="preserve"> возросла с 19,2 до 24,4 кв.м.</w:t>
      </w:r>
      <w:r w:rsidR="00E467E0">
        <w:rPr>
          <w:rFonts w:ascii="Arial" w:hAnsi="Arial" w:cs="Arial"/>
          <w:bCs/>
          <w:sz w:val="20"/>
          <w:szCs w:val="20"/>
        </w:rPr>
        <w:t xml:space="preserve"> на 1  человека.</w:t>
      </w:r>
    </w:p>
    <w:p w:rsidR="00DC7D2C" w:rsidRPr="00016735" w:rsidRDefault="00BC4AD6" w:rsidP="0001673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BC4AD6">
        <w:rPr>
          <w:rFonts w:ascii="Verdana" w:hAnsi="Verdana"/>
          <w:bCs/>
          <w:color w:val="000000"/>
          <w:sz w:val="21"/>
          <w:szCs w:val="21"/>
        </w:rPr>
        <w:t>С</w:t>
      </w:r>
      <w:r w:rsidRPr="00BC4AD6">
        <w:rPr>
          <w:rFonts w:ascii="Arial" w:hAnsi="Arial" w:cs="Arial"/>
          <w:bCs/>
          <w:sz w:val="20"/>
          <w:szCs w:val="20"/>
        </w:rPr>
        <w:t xml:space="preserve">редняя цена 1 кв. м общей площади квартир на </w:t>
      </w:r>
      <w:r w:rsidR="00016735">
        <w:rPr>
          <w:rFonts w:ascii="Arial" w:hAnsi="Arial" w:cs="Arial"/>
          <w:bCs/>
          <w:sz w:val="20"/>
          <w:szCs w:val="20"/>
        </w:rPr>
        <w:t>перв</w:t>
      </w:r>
      <w:r w:rsidRPr="00BC4AD6">
        <w:rPr>
          <w:rFonts w:ascii="Arial" w:hAnsi="Arial" w:cs="Arial"/>
          <w:bCs/>
          <w:sz w:val="20"/>
          <w:szCs w:val="20"/>
        </w:rPr>
        <w:t xml:space="preserve">ичном рынке </w:t>
      </w:r>
      <w:r>
        <w:rPr>
          <w:rFonts w:ascii="Arial" w:hAnsi="Arial" w:cs="Arial"/>
          <w:bCs/>
          <w:sz w:val="20"/>
          <w:szCs w:val="20"/>
        </w:rPr>
        <w:t xml:space="preserve">в 1 квартале составила </w:t>
      </w:r>
      <w:r w:rsidRPr="00BC4AD6">
        <w:rPr>
          <w:rFonts w:ascii="Arial" w:hAnsi="Arial" w:cs="Arial"/>
          <w:bCs/>
          <w:sz w:val="20"/>
          <w:szCs w:val="20"/>
        </w:rPr>
        <w:t>56</w:t>
      </w:r>
      <w:r w:rsidR="00016735">
        <w:rPr>
          <w:rFonts w:ascii="Arial" w:hAnsi="Arial" w:cs="Arial"/>
          <w:bCs/>
          <w:sz w:val="20"/>
          <w:szCs w:val="20"/>
        </w:rPr>
        <w:t xml:space="preserve"> </w:t>
      </w:r>
      <w:r w:rsidRPr="00BC4AD6">
        <w:rPr>
          <w:rFonts w:ascii="Arial" w:hAnsi="Arial" w:cs="Arial"/>
          <w:bCs/>
          <w:sz w:val="20"/>
          <w:szCs w:val="20"/>
        </w:rPr>
        <w:t>100,47 руб.</w:t>
      </w:r>
      <w:r w:rsidR="00016735">
        <w:rPr>
          <w:rFonts w:ascii="Arial" w:hAnsi="Arial" w:cs="Arial"/>
          <w:bCs/>
          <w:sz w:val="20"/>
          <w:szCs w:val="20"/>
        </w:rPr>
        <w:t xml:space="preserve">, на вторичном  - </w:t>
      </w:r>
      <w:r w:rsidR="00016735" w:rsidRPr="00016735">
        <w:rPr>
          <w:rFonts w:ascii="Arial" w:hAnsi="Arial" w:cs="Arial"/>
          <w:bCs/>
          <w:sz w:val="20"/>
          <w:szCs w:val="20"/>
        </w:rPr>
        <w:t>53</w:t>
      </w:r>
      <w:r w:rsidR="00016735">
        <w:rPr>
          <w:rFonts w:ascii="Arial" w:hAnsi="Arial" w:cs="Arial"/>
          <w:bCs/>
          <w:sz w:val="20"/>
          <w:szCs w:val="20"/>
        </w:rPr>
        <w:t xml:space="preserve"> </w:t>
      </w:r>
      <w:r w:rsidR="00016735" w:rsidRPr="00016735">
        <w:rPr>
          <w:rFonts w:ascii="Arial" w:hAnsi="Arial" w:cs="Arial"/>
          <w:bCs/>
          <w:sz w:val="20"/>
          <w:szCs w:val="20"/>
        </w:rPr>
        <w:t>047,1</w:t>
      </w:r>
      <w:r w:rsidR="00016735">
        <w:rPr>
          <w:rFonts w:ascii="Arial" w:hAnsi="Arial" w:cs="Arial"/>
          <w:bCs/>
          <w:sz w:val="20"/>
          <w:szCs w:val="20"/>
        </w:rPr>
        <w:t xml:space="preserve"> руб.</w:t>
      </w:r>
    </w:p>
    <w:p w:rsidR="002F6982" w:rsidRPr="00976857" w:rsidRDefault="002F6982" w:rsidP="004D2D2E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Инвестиции </w:t>
      </w:r>
      <w:r w:rsidRPr="002F6982">
        <w:rPr>
          <w:rFonts w:ascii="Arial" w:hAnsi="Arial" w:cs="Arial"/>
          <w:sz w:val="20"/>
          <w:szCs w:val="20"/>
        </w:rPr>
        <w:t>в нефинансовые активы составили 1,73 трлн. руб.</w:t>
      </w:r>
    </w:p>
    <w:p w:rsidR="00FC09C3" w:rsidRDefault="00741994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sz w:val="20"/>
          <w:szCs w:val="20"/>
        </w:rPr>
        <w:t>по сравнению с 1.01.2016</w:t>
      </w:r>
      <w:r w:rsidR="000403A4">
        <w:rPr>
          <w:rFonts w:ascii="Arial" w:hAnsi="Arial" w:cs="Arial"/>
          <w:sz w:val="20"/>
          <w:szCs w:val="20"/>
        </w:rPr>
        <w:t xml:space="preserve"> г. </w:t>
      </w:r>
      <w:r w:rsidR="004D2D2E" w:rsidRPr="004D2D2E">
        <w:rPr>
          <w:rFonts w:ascii="Arial" w:hAnsi="Arial" w:cs="Arial"/>
          <w:sz w:val="20"/>
          <w:szCs w:val="20"/>
        </w:rPr>
        <w:t xml:space="preserve">на </w:t>
      </w:r>
      <w:r w:rsidR="00401643">
        <w:rPr>
          <w:rFonts w:ascii="Arial" w:hAnsi="Arial" w:cs="Arial"/>
          <w:sz w:val="20"/>
          <w:szCs w:val="20"/>
        </w:rPr>
        <w:t>0</w:t>
      </w:r>
      <w:r w:rsidR="004D2D2E" w:rsidRPr="004D2D2E">
        <w:rPr>
          <w:rFonts w:ascii="Arial" w:hAnsi="Arial" w:cs="Arial"/>
          <w:sz w:val="20"/>
          <w:szCs w:val="20"/>
        </w:rPr>
        <w:t>1</w:t>
      </w:r>
      <w:r w:rsidR="00401643">
        <w:rPr>
          <w:rFonts w:ascii="Arial" w:hAnsi="Arial" w:cs="Arial"/>
          <w:sz w:val="20"/>
          <w:szCs w:val="20"/>
        </w:rPr>
        <w:t>.01.</w:t>
      </w:r>
      <w:r w:rsidR="004D2D2E" w:rsidRPr="004D2D2E">
        <w:rPr>
          <w:rFonts w:ascii="Arial" w:hAnsi="Arial" w:cs="Arial"/>
          <w:sz w:val="20"/>
          <w:szCs w:val="20"/>
        </w:rPr>
        <w:t>2017 го</w:t>
      </w:r>
      <w:r w:rsidR="00943DC7">
        <w:rPr>
          <w:rFonts w:ascii="Arial" w:hAnsi="Arial" w:cs="Arial"/>
          <w:sz w:val="20"/>
          <w:szCs w:val="20"/>
        </w:rPr>
        <w:t xml:space="preserve">да </w:t>
      </w:r>
      <w:r w:rsidR="00477995">
        <w:rPr>
          <w:rFonts w:ascii="Arial" w:hAnsi="Arial" w:cs="Arial"/>
          <w:sz w:val="20"/>
          <w:szCs w:val="20"/>
        </w:rPr>
        <w:t>возрос</w:t>
      </w:r>
      <w:r w:rsidR="00943DC7">
        <w:rPr>
          <w:rFonts w:ascii="Arial" w:hAnsi="Arial" w:cs="Arial"/>
          <w:sz w:val="20"/>
          <w:szCs w:val="20"/>
        </w:rPr>
        <w:t xml:space="preserve">: организациям </w:t>
      </w:r>
      <w:r w:rsidR="00401643">
        <w:rPr>
          <w:rFonts w:ascii="Arial" w:hAnsi="Arial" w:cs="Arial"/>
          <w:sz w:val="20"/>
          <w:szCs w:val="20"/>
        </w:rPr>
        <w:t xml:space="preserve">до </w:t>
      </w:r>
      <w:r w:rsidR="00943DC7">
        <w:rPr>
          <w:rFonts w:ascii="Arial" w:hAnsi="Arial" w:cs="Arial"/>
          <w:sz w:val="20"/>
          <w:szCs w:val="20"/>
        </w:rPr>
        <w:t>32</w:t>
      </w:r>
      <w:r w:rsidR="00401643">
        <w:rPr>
          <w:rFonts w:ascii="Arial" w:hAnsi="Arial" w:cs="Arial"/>
          <w:sz w:val="20"/>
          <w:szCs w:val="20"/>
        </w:rPr>
        <w:t>,4 т</w:t>
      </w:r>
      <w:r w:rsidR="00C9696B">
        <w:rPr>
          <w:rFonts w:ascii="Arial" w:hAnsi="Arial" w:cs="Arial"/>
          <w:sz w:val="20"/>
          <w:szCs w:val="20"/>
        </w:rPr>
        <w:t>р</w:t>
      </w:r>
      <w:r w:rsidR="00401643">
        <w:rPr>
          <w:rFonts w:ascii="Arial" w:hAnsi="Arial" w:cs="Arial"/>
          <w:sz w:val="20"/>
          <w:szCs w:val="20"/>
        </w:rPr>
        <w:t>лн</w:t>
      </w:r>
      <w:r w:rsidR="00943DC7">
        <w:rPr>
          <w:rFonts w:ascii="Arial" w:hAnsi="Arial" w:cs="Arial"/>
          <w:sz w:val="20"/>
          <w:szCs w:val="20"/>
        </w:rPr>
        <w:t xml:space="preserve">. </w:t>
      </w:r>
      <w:r w:rsidR="00401643">
        <w:rPr>
          <w:rFonts w:ascii="Arial" w:hAnsi="Arial" w:cs="Arial"/>
          <w:sz w:val="20"/>
          <w:szCs w:val="20"/>
        </w:rPr>
        <w:t>р</w:t>
      </w:r>
      <w:r w:rsidR="00943DC7">
        <w:rPr>
          <w:rFonts w:ascii="Arial" w:hAnsi="Arial" w:cs="Arial"/>
          <w:sz w:val="20"/>
          <w:szCs w:val="20"/>
        </w:rPr>
        <w:t>уб</w:t>
      </w:r>
      <w:r w:rsidR="00401643">
        <w:rPr>
          <w:rFonts w:ascii="Arial" w:hAnsi="Arial" w:cs="Arial"/>
          <w:sz w:val="20"/>
          <w:szCs w:val="20"/>
        </w:rPr>
        <w:t>.</w:t>
      </w:r>
      <w:r w:rsidR="00943DC7">
        <w:rPr>
          <w:rFonts w:ascii="Arial" w:hAnsi="Arial" w:cs="Arial"/>
          <w:sz w:val="20"/>
          <w:szCs w:val="20"/>
        </w:rPr>
        <w:t xml:space="preserve"> (</w:t>
      </w:r>
      <w:r w:rsidR="00C9696B">
        <w:rPr>
          <w:rFonts w:ascii="Arial" w:hAnsi="Arial" w:cs="Arial"/>
          <w:sz w:val="20"/>
          <w:szCs w:val="20"/>
        </w:rPr>
        <w:t>+</w:t>
      </w:r>
      <w:r w:rsidR="00943DC7">
        <w:rPr>
          <w:rFonts w:ascii="Arial" w:hAnsi="Arial" w:cs="Arial"/>
          <w:sz w:val="20"/>
          <w:szCs w:val="20"/>
        </w:rPr>
        <w:t xml:space="preserve"> </w:t>
      </w:r>
      <w:r w:rsidR="00401643">
        <w:rPr>
          <w:rFonts w:ascii="Arial" w:hAnsi="Arial" w:cs="Arial"/>
          <w:sz w:val="20"/>
          <w:szCs w:val="20"/>
        </w:rPr>
        <w:t>8</w:t>
      </w:r>
      <w:r w:rsidR="004D2D2E" w:rsidRPr="004D2D2E">
        <w:rPr>
          <w:rFonts w:ascii="Arial" w:hAnsi="Arial" w:cs="Arial"/>
          <w:sz w:val="20"/>
          <w:szCs w:val="20"/>
        </w:rPr>
        <w:t>%)</w:t>
      </w:r>
      <w:r w:rsidR="004D2D2E">
        <w:rPr>
          <w:rFonts w:ascii="Arial" w:hAnsi="Arial" w:cs="Arial"/>
          <w:sz w:val="20"/>
          <w:szCs w:val="20"/>
        </w:rPr>
        <w:t xml:space="preserve">, физическим лицам </w:t>
      </w:r>
      <w:r w:rsidR="000403A4">
        <w:rPr>
          <w:rFonts w:ascii="Arial" w:hAnsi="Arial" w:cs="Arial"/>
          <w:sz w:val="20"/>
          <w:szCs w:val="20"/>
        </w:rPr>
        <w:t>до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7,2 трлн</w:t>
      </w:r>
      <w:r w:rsidR="00943DC7">
        <w:rPr>
          <w:rFonts w:ascii="Arial" w:hAnsi="Arial" w:cs="Arial"/>
          <w:sz w:val="20"/>
          <w:szCs w:val="20"/>
        </w:rPr>
        <w:t>. руб. (+</w:t>
      </w:r>
      <w:r w:rsidR="00C9696B">
        <w:rPr>
          <w:rFonts w:ascii="Arial" w:hAnsi="Arial" w:cs="Arial"/>
          <w:sz w:val="20"/>
          <w:szCs w:val="20"/>
        </w:rPr>
        <w:t>2</w:t>
      </w:r>
      <w:r w:rsidR="00943DC7">
        <w:rPr>
          <w:rFonts w:ascii="Arial" w:hAnsi="Arial" w:cs="Arial"/>
          <w:sz w:val="20"/>
          <w:szCs w:val="20"/>
        </w:rPr>
        <w:t>3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</w:t>
      </w:r>
      <w:r w:rsidR="00C9696B">
        <w:rPr>
          <w:rFonts w:ascii="Arial" w:hAnsi="Arial" w:cs="Arial"/>
          <w:sz w:val="20"/>
          <w:szCs w:val="20"/>
        </w:rPr>
        <w:t>–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 xml:space="preserve">1,48 </w:t>
      </w:r>
      <w:proofErr w:type="spellStart"/>
      <w:r w:rsidR="00C9696B">
        <w:rPr>
          <w:rFonts w:ascii="Arial" w:hAnsi="Arial" w:cs="Arial"/>
          <w:sz w:val="20"/>
          <w:szCs w:val="20"/>
        </w:rPr>
        <w:t>трлн</w:t>
      </w:r>
      <w:proofErr w:type="gramStart"/>
      <w:r w:rsidR="00C9696B">
        <w:rPr>
          <w:rFonts w:ascii="Arial" w:hAnsi="Arial" w:cs="Arial"/>
          <w:sz w:val="20"/>
          <w:szCs w:val="20"/>
        </w:rPr>
        <w:t>.р</w:t>
      </w:r>
      <w:proofErr w:type="gramEnd"/>
      <w:r w:rsidR="00C9696B">
        <w:rPr>
          <w:rFonts w:ascii="Arial" w:hAnsi="Arial" w:cs="Arial"/>
          <w:sz w:val="20"/>
          <w:szCs w:val="20"/>
        </w:rPr>
        <w:t>уб</w:t>
      </w:r>
      <w:proofErr w:type="spellEnd"/>
      <w:r w:rsidR="00C9696B">
        <w:rPr>
          <w:rFonts w:ascii="Arial" w:hAnsi="Arial" w:cs="Arial"/>
          <w:sz w:val="20"/>
          <w:szCs w:val="20"/>
        </w:rPr>
        <w:t>.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sz w:val="20"/>
          <w:szCs w:val="20"/>
        </w:rPr>
        <w:t>(+26</w:t>
      </w:r>
      <w:r w:rsidR="00462754">
        <w:rPr>
          <w:rFonts w:ascii="Arial" w:hAnsi="Arial" w:cs="Arial"/>
          <w:sz w:val="20"/>
          <w:szCs w:val="20"/>
        </w:rPr>
        <w:t xml:space="preserve">%) </w:t>
      </w:r>
      <w:r w:rsidR="004D2D2E">
        <w:rPr>
          <w:rFonts w:ascii="Arial" w:hAnsi="Arial" w:cs="Arial"/>
          <w:sz w:val="20"/>
          <w:szCs w:val="20"/>
        </w:rPr>
        <w:t xml:space="preserve">под </w:t>
      </w:r>
      <w:r w:rsidR="00462754">
        <w:rPr>
          <w:rFonts w:ascii="Arial" w:hAnsi="Arial" w:cs="Arial"/>
          <w:sz w:val="20"/>
          <w:szCs w:val="20"/>
        </w:rPr>
        <w:t>11,</w:t>
      </w:r>
      <w:r w:rsidR="000403A4">
        <w:rPr>
          <w:rFonts w:ascii="Arial" w:hAnsi="Arial" w:cs="Arial"/>
          <w:sz w:val="20"/>
          <w:szCs w:val="20"/>
        </w:rPr>
        <w:t>6</w:t>
      </w:r>
      <w:r w:rsidR="00462754">
        <w:rPr>
          <w:rFonts w:ascii="Arial" w:hAnsi="Arial" w:cs="Arial"/>
          <w:sz w:val="20"/>
          <w:szCs w:val="20"/>
        </w:rPr>
        <w:t>% годовых (средневзвешенная ставка)</w:t>
      </w:r>
      <w:r w:rsidR="000403A4">
        <w:rPr>
          <w:rFonts w:ascii="Arial" w:hAnsi="Arial" w:cs="Arial"/>
          <w:sz w:val="20"/>
          <w:szCs w:val="20"/>
        </w:rPr>
        <w:t xml:space="preserve"> (-9,1</w:t>
      </w:r>
      <w:r w:rsidR="00D9633A">
        <w:rPr>
          <w:rFonts w:ascii="Arial" w:hAnsi="Arial" w:cs="Arial"/>
          <w:sz w:val="20"/>
          <w:szCs w:val="20"/>
        </w:rPr>
        <w:t>%)</w:t>
      </w:r>
      <w:r w:rsidR="00462754">
        <w:rPr>
          <w:rFonts w:ascii="Arial" w:hAnsi="Arial" w:cs="Arial"/>
          <w:sz w:val="20"/>
          <w:szCs w:val="20"/>
        </w:rPr>
        <w:t xml:space="preserve">. </w:t>
      </w:r>
    </w:p>
    <w:p w:rsidR="009B2FF3" w:rsidRDefault="005C403B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1 </w:t>
      </w:r>
      <w:r w:rsidR="00424212">
        <w:rPr>
          <w:rFonts w:ascii="Arial" w:hAnsi="Arial" w:cs="Arial"/>
          <w:sz w:val="20"/>
          <w:szCs w:val="20"/>
        </w:rPr>
        <w:t xml:space="preserve">мая </w:t>
      </w:r>
      <w:r w:rsidR="00EA7668" w:rsidRPr="004D2D2E">
        <w:rPr>
          <w:rFonts w:ascii="Arial" w:hAnsi="Arial" w:cs="Arial"/>
          <w:sz w:val="20"/>
          <w:szCs w:val="20"/>
        </w:rPr>
        <w:t xml:space="preserve">2017 года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bCs/>
          <w:sz w:val="20"/>
          <w:szCs w:val="20"/>
        </w:rPr>
        <w:t>24,3 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424212">
        <w:rPr>
          <w:rFonts w:ascii="Arial" w:hAnsi="Arial" w:cs="Arial"/>
          <w:bCs/>
          <w:sz w:val="20"/>
          <w:szCs w:val="20"/>
        </w:rPr>
        <w:t>7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9B2FF3"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в </w:t>
      </w:r>
      <w:r w:rsidR="00F00833">
        <w:rPr>
          <w:rFonts w:ascii="Arial" w:hAnsi="Arial" w:cs="Arial"/>
          <w:bCs/>
          <w:sz w:val="20"/>
          <w:szCs w:val="20"/>
        </w:rPr>
        <w:t>мае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9B101E">
        <w:rPr>
          <w:rFonts w:ascii="Arial" w:hAnsi="Arial" w:cs="Arial"/>
          <w:bCs/>
          <w:sz w:val="20"/>
          <w:szCs w:val="20"/>
        </w:rPr>
        <w:t>по сравнению с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47DF5">
        <w:rPr>
          <w:rFonts w:ascii="Arial" w:hAnsi="Arial" w:cs="Arial"/>
          <w:bCs/>
          <w:sz w:val="20"/>
          <w:szCs w:val="20"/>
        </w:rPr>
        <w:t>ма</w:t>
      </w:r>
      <w:r w:rsidR="009B101E">
        <w:rPr>
          <w:rFonts w:ascii="Arial" w:hAnsi="Arial" w:cs="Arial"/>
          <w:bCs/>
          <w:sz w:val="20"/>
          <w:szCs w:val="20"/>
        </w:rPr>
        <w:t>ем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4,</w:t>
      </w:r>
      <w:r w:rsidR="00CD7BC4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047DF5" w:rsidRDefault="00C06544" w:rsidP="00C0654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C06544">
        <w:rPr>
          <w:rFonts w:ascii="Arial" w:hAnsi="Arial" w:cs="Arial"/>
          <w:sz w:val="20"/>
          <w:szCs w:val="20"/>
        </w:rPr>
        <w:t>Международные резервы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9B101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.06.2017 - </w:t>
      </w:r>
      <w:r w:rsidR="009B101E">
        <w:rPr>
          <w:rFonts w:ascii="Arial" w:hAnsi="Arial" w:cs="Arial"/>
          <w:sz w:val="20"/>
          <w:szCs w:val="20"/>
        </w:rPr>
        <w:t>412</w:t>
      </w:r>
      <w:r w:rsidR="00047DF5" w:rsidRPr="00047DF5">
        <w:rPr>
          <w:rFonts w:ascii="Arial" w:hAnsi="Arial" w:cs="Arial"/>
          <w:sz w:val="20"/>
          <w:szCs w:val="20"/>
        </w:rPr>
        <w:t>,</w:t>
      </w:r>
      <w:r w:rsidR="009B10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млрд.</w:t>
      </w:r>
      <w:r w:rsidR="009B10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долл. (</w:t>
      </w:r>
      <w:r w:rsidR="009B101E">
        <w:rPr>
          <w:rFonts w:ascii="Arial" w:hAnsi="Arial" w:cs="Arial"/>
          <w:sz w:val="20"/>
          <w:szCs w:val="20"/>
        </w:rPr>
        <w:t>+5%</w:t>
      </w:r>
      <w:r>
        <w:rPr>
          <w:rFonts w:ascii="Arial" w:hAnsi="Arial" w:cs="Arial"/>
          <w:sz w:val="20"/>
          <w:szCs w:val="20"/>
        </w:rPr>
        <w:t>)</w:t>
      </w:r>
    </w:p>
    <w:p w:rsidR="00462754" w:rsidRDefault="009B2FF3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047DF5">
        <w:rPr>
          <w:rFonts w:ascii="Arial" w:hAnsi="Arial" w:cs="Arial"/>
          <w:sz w:val="20"/>
          <w:szCs w:val="20"/>
        </w:rPr>
        <w:t xml:space="preserve"> 19.06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9664C4">
        <w:rPr>
          <w:rFonts w:ascii="Arial" w:hAnsi="Arial" w:cs="Arial"/>
          <w:sz w:val="20"/>
          <w:szCs w:val="20"/>
        </w:rPr>
        <w:t xml:space="preserve"> 9,0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A7668" w:rsidRPr="004D2D2E" w:rsidRDefault="00F82451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</w:t>
      </w:r>
      <w:r w:rsidR="00EA7668">
        <w:rPr>
          <w:rFonts w:ascii="Arial" w:hAnsi="Arial" w:cs="Arial"/>
          <w:sz w:val="20"/>
          <w:szCs w:val="20"/>
        </w:rPr>
        <w:t xml:space="preserve"> 2017 год</w:t>
      </w:r>
      <w:r>
        <w:rPr>
          <w:rFonts w:ascii="Arial" w:hAnsi="Arial" w:cs="Arial"/>
          <w:sz w:val="20"/>
          <w:szCs w:val="20"/>
        </w:rPr>
        <w:t xml:space="preserve"> в 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42 </w:t>
      </w:r>
      <w:hyperlink r:id="rId9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государственные целевые программы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оборонного, регионального и государственного развития. </w:t>
      </w:r>
      <w:r>
        <w:rPr>
          <w:rFonts w:ascii="Arial" w:hAnsi="Arial" w:cs="Arial"/>
          <w:sz w:val="20"/>
          <w:szCs w:val="20"/>
        </w:rPr>
        <w:t xml:space="preserve">В 2016 году на их выполнение было направлено около 900 </w:t>
      </w:r>
      <w:proofErr w:type="gramStart"/>
      <w:r>
        <w:rPr>
          <w:rFonts w:ascii="Arial" w:hAnsi="Arial" w:cs="Arial"/>
          <w:sz w:val="20"/>
          <w:szCs w:val="20"/>
        </w:rPr>
        <w:t>млрд</w:t>
      </w:r>
      <w:proofErr w:type="gramEnd"/>
      <w:r>
        <w:rPr>
          <w:rFonts w:ascii="Arial" w:hAnsi="Arial" w:cs="Arial"/>
          <w:sz w:val="20"/>
          <w:szCs w:val="20"/>
        </w:rPr>
        <w:t xml:space="preserve"> руб. федеральных средств, половина которых </w:t>
      </w:r>
      <w:r w:rsidR="00BE4AC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капитальные вложения (здания, сооружения, оборудование), около 150 млрд. руб. – инвестиции в научные исследования и разработки</w:t>
      </w:r>
      <w:r w:rsidR="00BE4AC3">
        <w:rPr>
          <w:rFonts w:ascii="Arial" w:hAnsi="Arial" w:cs="Arial"/>
          <w:sz w:val="20"/>
          <w:szCs w:val="20"/>
        </w:rPr>
        <w:t>. О</w:t>
      </w:r>
      <w:r>
        <w:rPr>
          <w:rFonts w:ascii="Arial" w:hAnsi="Arial" w:cs="Arial"/>
          <w:sz w:val="20"/>
          <w:szCs w:val="20"/>
        </w:rPr>
        <w:t>коло 700 млрд. руб. средств регионов</w:t>
      </w:r>
      <w:r w:rsidR="00BE4AC3">
        <w:rPr>
          <w:rFonts w:ascii="Arial" w:hAnsi="Arial" w:cs="Arial"/>
          <w:sz w:val="20"/>
          <w:szCs w:val="20"/>
        </w:rPr>
        <w:t xml:space="preserve"> направлено на региональные программы</w:t>
      </w:r>
      <w:r>
        <w:rPr>
          <w:rFonts w:ascii="Arial" w:hAnsi="Arial" w:cs="Arial"/>
          <w:sz w:val="20"/>
          <w:szCs w:val="20"/>
        </w:rPr>
        <w:t>.</w:t>
      </w: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850D8E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(прежде всего 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1113D">
        <w:rPr>
          <w:rFonts w:ascii="Arial" w:hAnsi="Arial" w:cs="Arial"/>
          <w:sz w:val="20"/>
          <w:szCs w:val="20"/>
        </w:rPr>
        <w:t xml:space="preserve">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это </w:t>
      </w:r>
      <w:r w:rsidR="00056BB8">
        <w:rPr>
          <w:rFonts w:ascii="Arial" w:hAnsi="Arial" w:cs="Arial"/>
          <w:sz w:val="20"/>
          <w:szCs w:val="20"/>
        </w:rPr>
        <w:t>резко повысило цены потребительского рынка и рынка товаров производственного назначения</w:t>
      </w:r>
      <w:r w:rsidR="00E63FCF">
        <w:rPr>
          <w:rFonts w:ascii="Arial" w:hAnsi="Arial" w:cs="Arial"/>
          <w:sz w:val="20"/>
          <w:szCs w:val="20"/>
        </w:rPr>
        <w:t>, что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r w:rsidR="00056BB8">
        <w:rPr>
          <w:rFonts w:ascii="Arial" w:hAnsi="Arial" w:cs="Arial"/>
          <w:sz w:val="20"/>
          <w:szCs w:val="20"/>
        </w:rPr>
        <w:t xml:space="preserve">, </w:t>
      </w:r>
      <w:r w:rsidR="00372B0C">
        <w:rPr>
          <w:rFonts w:ascii="Arial" w:hAnsi="Arial" w:cs="Arial"/>
          <w:sz w:val="20"/>
          <w:szCs w:val="20"/>
        </w:rPr>
        <w:t xml:space="preserve">а также </w:t>
      </w:r>
      <w:r w:rsidR="00606832">
        <w:rPr>
          <w:rFonts w:ascii="Arial" w:hAnsi="Arial" w:cs="Arial"/>
          <w:sz w:val="20"/>
          <w:szCs w:val="20"/>
        </w:rPr>
        <w:t xml:space="preserve">в </w:t>
      </w:r>
      <w:r w:rsidR="00056BB8">
        <w:rPr>
          <w:rFonts w:ascii="Arial" w:hAnsi="Arial" w:cs="Arial"/>
          <w:sz w:val="20"/>
          <w:szCs w:val="20"/>
        </w:rPr>
        <w:t xml:space="preserve">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>сделок на рынке недвижимости.</w:t>
      </w:r>
      <w:proofErr w:type="gramEnd"/>
      <w:r w:rsidR="00056BB8">
        <w:rPr>
          <w:rFonts w:ascii="Arial" w:hAnsi="Arial" w:cs="Arial"/>
          <w:sz w:val="20"/>
          <w:szCs w:val="20"/>
        </w:rPr>
        <w:t xml:space="preserve"> </w:t>
      </w:r>
      <w:r w:rsidR="001060BB">
        <w:rPr>
          <w:rFonts w:ascii="Arial" w:hAnsi="Arial" w:cs="Arial"/>
          <w:sz w:val="20"/>
          <w:szCs w:val="20"/>
        </w:rPr>
        <w:t>Далее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по цепочке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79696A">
        <w:rPr>
          <w:rFonts w:ascii="Arial" w:hAnsi="Arial" w:cs="Arial"/>
          <w:sz w:val="20"/>
          <w:szCs w:val="20"/>
        </w:rPr>
        <w:t>снизил</w:t>
      </w:r>
      <w:r w:rsidR="001060BB">
        <w:rPr>
          <w:rFonts w:ascii="Arial" w:hAnsi="Arial" w:cs="Arial"/>
          <w:sz w:val="20"/>
          <w:szCs w:val="20"/>
        </w:rPr>
        <w:t>ись</w:t>
      </w:r>
      <w:r w:rsidR="005C5233">
        <w:rPr>
          <w:rFonts w:ascii="Arial" w:hAnsi="Arial" w:cs="Arial"/>
          <w:sz w:val="20"/>
          <w:szCs w:val="20"/>
        </w:rPr>
        <w:t xml:space="preserve"> объём</w:t>
      </w:r>
      <w:r w:rsidR="0079696A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производства товаров </w:t>
      </w:r>
      <w:r w:rsidR="00C1113D">
        <w:rPr>
          <w:rFonts w:ascii="Arial" w:hAnsi="Arial" w:cs="Arial"/>
          <w:sz w:val="20"/>
          <w:szCs w:val="20"/>
        </w:rPr>
        <w:t>и услуг</w:t>
      </w:r>
      <w:r w:rsidR="005C5233">
        <w:rPr>
          <w:rFonts w:ascii="Arial" w:hAnsi="Arial" w:cs="Arial"/>
          <w:sz w:val="20"/>
          <w:szCs w:val="20"/>
        </w:rPr>
        <w:t xml:space="preserve">, </w:t>
      </w:r>
      <w:r w:rsidR="00AE726C">
        <w:rPr>
          <w:rFonts w:ascii="Arial" w:hAnsi="Arial" w:cs="Arial"/>
          <w:sz w:val="20"/>
          <w:szCs w:val="20"/>
        </w:rPr>
        <w:t xml:space="preserve">объёмы торговли товарами производственного назначения, </w:t>
      </w:r>
      <w:r w:rsidR="00056BB8">
        <w:rPr>
          <w:rFonts w:ascii="Arial" w:hAnsi="Arial" w:cs="Arial"/>
          <w:sz w:val="20"/>
          <w:szCs w:val="20"/>
        </w:rPr>
        <w:t>объ</w:t>
      </w:r>
      <w:r w:rsidR="00AE726C">
        <w:rPr>
          <w:rFonts w:ascii="Arial" w:hAnsi="Arial" w:cs="Arial"/>
          <w:sz w:val="20"/>
          <w:szCs w:val="20"/>
        </w:rPr>
        <w:t>ё</w:t>
      </w:r>
      <w:r w:rsidR="00056BB8">
        <w:rPr>
          <w:rFonts w:ascii="Arial" w:hAnsi="Arial" w:cs="Arial"/>
          <w:sz w:val="20"/>
          <w:szCs w:val="20"/>
        </w:rPr>
        <w:t>м</w:t>
      </w:r>
      <w:r w:rsidR="00AE726C">
        <w:rPr>
          <w:rFonts w:ascii="Arial" w:hAnsi="Arial" w:cs="Arial"/>
          <w:sz w:val="20"/>
          <w:szCs w:val="20"/>
        </w:rPr>
        <w:t>ы</w:t>
      </w:r>
      <w:r w:rsidR="00056BB8">
        <w:rPr>
          <w:rFonts w:ascii="Arial" w:hAnsi="Arial" w:cs="Arial"/>
          <w:sz w:val="20"/>
          <w:szCs w:val="20"/>
        </w:rPr>
        <w:t xml:space="preserve"> строительства</w:t>
      </w:r>
      <w:r w:rsidR="00AE726C">
        <w:rPr>
          <w:rFonts w:ascii="Arial" w:hAnsi="Arial" w:cs="Arial"/>
          <w:sz w:val="20"/>
          <w:szCs w:val="20"/>
        </w:rPr>
        <w:t xml:space="preserve">, </w:t>
      </w:r>
      <w:r w:rsidR="00C1113D">
        <w:rPr>
          <w:rFonts w:ascii="Arial" w:hAnsi="Arial" w:cs="Arial"/>
          <w:sz w:val="20"/>
          <w:szCs w:val="20"/>
        </w:rPr>
        <w:t xml:space="preserve">что </w:t>
      </w:r>
      <w:r w:rsidR="0079696A">
        <w:rPr>
          <w:rFonts w:ascii="Arial" w:hAnsi="Arial" w:cs="Arial"/>
          <w:sz w:val="20"/>
          <w:szCs w:val="20"/>
        </w:rPr>
        <w:t>привело к убыткам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C1113D">
        <w:rPr>
          <w:rFonts w:ascii="Arial" w:hAnsi="Arial" w:cs="Arial"/>
          <w:sz w:val="20"/>
          <w:szCs w:val="20"/>
        </w:rPr>
        <w:t xml:space="preserve">большого числа </w:t>
      </w:r>
      <w:r w:rsidR="005C5233">
        <w:rPr>
          <w:rFonts w:ascii="Arial" w:hAnsi="Arial" w:cs="Arial"/>
          <w:sz w:val="20"/>
          <w:szCs w:val="20"/>
        </w:rPr>
        <w:t xml:space="preserve">компаний, занятых </w:t>
      </w:r>
      <w:r w:rsidR="00C1113D">
        <w:rPr>
          <w:rFonts w:ascii="Arial" w:hAnsi="Arial" w:cs="Arial"/>
          <w:sz w:val="20"/>
          <w:szCs w:val="20"/>
        </w:rPr>
        <w:t>в этих отраслях, а также компаний,</w:t>
      </w:r>
      <w:r w:rsidR="005C5233">
        <w:rPr>
          <w:rFonts w:ascii="Arial" w:hAnsi="Arial" w:cs="Arial"/>
          <w:sz w:val="20"/>
          <w:szCs w:val="20"/>
        </w:rPr>
        <w:t xml:space="preserve"> связанных с добывающими отраслями</w:t>
      </w:r>
      <w:r w:rsidR="00C031A8">
        <w:rPr>
          <w:rFonts w:ascii="Arial" w:hAnsi="Arial" w:cs="Arial"/>
          <w:sz w:val="20"/>
          <w:szCs w:val="20"/>
        </w:rPr>
        <w:t>, нарушению хозяйственных связей.</w:t>
      </w:r>
      <w:r w:rsidR="00C1113D">
        <w:rPr>
          <w:rFonts w:ascii="Arial" w:hAnsi="Arial" w:cs="Arial"/>
          <w:sz w:val="20"/>
          <w:szCs w:val="20"/>
        </w:rPr>
        <w:t xml:space="preserve"> Последовали сокращения</w:t>
      </w:r>
      <w:r w:rsidR="0079696A">
        <w:rPr>
          <w:rFonts w:ascii="Arial" w:hAnsi="Arial" w:cs="Arial"/>
          <w:sz w:val="20"/>
          <w:szCs w:val="20"/>
        </w:rPr>
        <w:t xml:space="preserve"> штатов ряда организаций, увольнения работников</w:t>
      </w:r>
      <w:r w:rsidR="00C1113D">
        <w:rPr>
          <w:rFonts w:ascii="Arial" w:hAnsi="Arial" w:cs="Arial"/>
          <w:sz w:val="20"/>
          <w:szCs w:val="20"/>
        </w:rPr>
        <w:t>, рост</w:t>
      </w:r>
      <w:r w:rsidR="0079696A">
        <w:rPr>
          <w:rFonts w:ascii="Arial" w:hAnsi="Arial" w:cs="Arial"/>
          <w:sz w:val="20"/>
          <w:szCs w:val="20"/>
        </w:rPr>
        <w:t xml:space="preserve"> социальной напряжённости</w:t>
      </w:r>
      <w:r w:rsidR="008717C1">
        <w:rPr>
          <w:rFonts w:ascii="Arial" w:hAnsi="Arial" w:cs="Arial"/>
          <w:sz w:val="20"/>
          <w:szCs w:val="20"/>
        </w:rPr>
        <w:t>, падение деловой активности бизнеса</w:t>
      </w:r>
      <w:r w:rsidR="00E63FCF">
        <w:rPr>
          <w:rFonts w:ascii="Arial" w:hAnsi="Arial" w:cs="Arial"/>
          <w:sz w:val="20"/>
          <w:szCs w:val="20"/>
        </w:rPr>
        <w:t xml:space="preserve"> и населения.</w:t>
      </w:r>
      <w:r w:rsidR="00AE726C">
        <w:rPr>
          <w:rFonts w:ascii="Arial" w:hAnsi="Arial" w:cs="Arial"/>
          <w:sz w:val="20"/>
          <w:szCs w:val="20"/>
        </w:rPr>
        <w:t xml:space="preserve"> 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 w:rsidR="00AE726C"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 w:rsidR="00AE726C"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сырьё,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 w:rsidR="00AE726C">
        <w:rPr>
          <w:rFonts w:ascii="Arial" w:hAnsi="Arial" w:cs="Arial"/>
          <w:sz w:val="20"/>
          <w:szCs w:val="20"/>
        </w:rPr>
        <w:t xml:space="preserve"> </w:t>
      </w:r>
      <w:r w:rsidR="00A40452" w:rsidRPr="00A40452">
        <w:rPr>
          <w:rFonts w:ascii="Arial" w:hAnsi="Arial" w:cs="Arial"/>
          <w:bCs/>
          <w:sz w:val="20"/>
          <w:szCs w:val="20"/>
        </w:rPr>
        <w:t>Сработала и политика  импортозамещения - объёмы импорта продовольствия в Россию снизились за время действия продовольственного эмбарго в 3 раза (с 60 до 20 </w:t>
      </w:r>
      <w:proofErr w:type="gramStart"/>
      <w:r w:rsidR="00A40452" w:rsidRPr="00A40452">
        <w:rPr>
          <w:rFonts w:ascii="Arial" w:hAnsi="Arial" w:cs="Arial"/>
          <w:bCs/>
          <w:sz w:val="20"/>
          <w:szCs w:val="20"/>
        </w:rPr>
        <w:t>млрд</w:t>
      </w:r>
      <w:proofErr w:type="gramEnd"/>
      <w:r w:rsidR="00A40452" w:rsidRPr="00A40452">
        <w:rPr>
          <w:rFonts w:ascii="Arial" w:hAnsi="Arial" w:cs="Arial"/>
          <w:bCs/>
          <w:sz w:val="20"/>
          <w:szCs w:val="20"/>
        </w:rPr>
        <w:t xml:space="preserve"> долларов). Замещена основная часть украинских товаров.</w:t>
      </w:r>
    </w:p>
    <w:p w:rsidR="00FC09C3" w:rsidRPr="00CD6630" w:rsidRDefault="003F3DFE" w:rsidP="00A40452">
      <w:pPr>
        <w:spacing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 xml:space="preserve">в целом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проявления рыночных законов</w:t>
      </w:r>
      <w:r w:rsidR="00606832">
        <w:rPr>
          <w:rFonts w:ascii="Arial" w:hAnsi="Arial" w:cs="Arial"/>
          <w:sz w:val="20"/>
          <w:szCs w:val="20"/>
        </w:rPr>
        <w:t>.</w:t>
      </w:r>
      <w:r w:rsidR="00E63FCF">
        <w:rPr>
          <w:rFonts w:ascii="Arial" w:hAnsi="Arial" w:cs="Arial"/>
          <w:sz w:val="20"/>
          <w:szCs w:val="20"/>
        </w:rPr>
        <w:t xml:space="preserve"> </w:t>
      </w:r>
      <w:r w:rsidR="00606832">
        <w:rPr>
          <w:rFonts w:ascii="Arial" w:hAnsi="Arial" w:cs="Arial"/>
          <w:sz w:val="20"/>
          <w:szCs w:val="20"/>
        </w:rPr>
        <w:t>Эт</w:t>
      </w:r>
      <w:r w:rsidR="00DE3D00">
        <w:rPr>
          <w:rFonts w:ascii="Arial" w:hAnsi="Arial" w:cs="Arial"/>
          <w:sz w:val="20"/>
          <w:szCs w:val="20"/>
        </w:rPr>
        <w:t>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10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 xml:space="preserve">Инновационное развитие и модернизация </w:t>
        </w:r>
        <w:r w:rsidR="005B2BF5" w:rsidRPr="005B2BF5">
          <w:rPr>
            <w:rStyle w:val="a4"/>
            <w:rFonts w:ascii="Arial" w:hAnsi="Arial" w:cs="Arial"/>
            <w:sz w:val="20"/>
            <w:szCs w:val="20"/>
          </w:rPr>
          <w:lastRenderedPageBreak/>
          <w:t>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</w:t>
      </w:r>
      <w:r w:rsidR="00606832">
        <w:rPr>
          <w:rFonts w:ascii="Arial" w:hAnsi="Arial" w:cs="Arial"/>
          <w:sz w:val="20"/>
          <w:szCs w:val="20"/>
        </w:rPr>
        <w:t>вождается падением уровня реальных доходов населения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A40452">
        <w:rPr>
          <w:rFonts w:ascii="Arial" w:hAnsi="Arial" w:cs="Arial"/>
          <w:sz w:val="20"/>
          <w:szCs w:val="20"/>
        </w:rPr>
        <w:t xml:space="preserve"> и другие. </w:t>
      </w:r>
      <w:r w:rsidR="00795907">
        <w:rPr>
          <w:rFonts w:ascii="Arial" w:hAnsi="Arial" w:cs="Arial"/>
          <w:bCs/>
          <w:sz w:val="20"/>
          <w:szCs w:val="20"/>
        </w:rPr>
        <w:t>Следовательно,</w:t>
      </w:r>
      <w:r w:rsidR="00795907" w:rsidRPr="00795907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учитывая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высокую 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372B0C">
        <w:rPr>
          <w:rFonts w:ascii="Arial" w:hAnsi="Arial" w:cs="Arial"/>
          <w:bCs/>
          <w:sz w:val="20"/>
          <w:szCs w:val="20"/>
        </w:rPr>
        <w:t>июнь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 на основе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подход</w:t>
      </w:r>
      <w:r w:rsidR="00E40778">
        <w:rPr>
          <w:rFonts w:ascii="Arial" w:hAnsi="Arial" w:cs="Arial"/>
          <w:bCs/>
          <w:sz w:val="20"/>
          <w:szCs w:val="20"/>
        </w:rPr>
        <w:t>а</w:t>
      </w:r>
      <w:r w:rsidR="00C031A8">
        <w:rPr>
          <w:rFonts w:ascii="Arial" w:hAnsi="Arial" w:cs="Arial"/>
          <w:bCs/>
          <w:sz w:val="20"/>
          <w:szCs w:val="20"/>
        </w:rPr>
        <w:t xml:space="preserve"> и контрол</w:t>
      </w:r>
      <w:r w:rsidR="00E40778">
        <w:rPr>
          <w:rFonts w:ascii="Arial" w:hAnsi="Arial" w:cs="Arial"/>
          <w:bCs/>
          <w:sz w:val="20"/>
          <w:szCs w:val="20"/>
        </w:rPr>
        <w:t>я</w:t>
      </w:r>
      <w:r w:rsidR="00C031A8">
        <w:rPr>
          <w:rFonts w:ascii="Arial" w:hAnsi="Arial" w:cs="Arial"/>
          <w:bCs/>
          <w:sz w:val="20"/>
          <w:szCs w:val="20"/>
        </w:rPr>
        <w:t xml:space="preserve"> 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7D7764">
        <w:rPr>
          <w:rFonts w:ascii="Arial" w:hAnsi="Arial" w:cs="Arial"/>
          <w:bCs/>
          <w:sz w:val="20"/>
          <w:szCs w:val="20"/>
        </w:rPr>
        <w:t xml:space="preserve"> ВВП в пределах 1,5 – 2 %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>до 3 %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хорошие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A40452">
        <w:rPr>
          <w:rFonts w:ascii="Arial" w:hAnsi="Arial" w:cs="Arial"/>
          <w:bCs/>
          <w:color w:val="00B050"/>
          <w:sz w:val="20"/>
          <w:szCs w:val="20"/>
        </w:rPr>
        <w:t>.</w:t>
      </w:r>
      <w:proofErr w:type="gramEnd"/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>российские компании и их западные партнеры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>нные пути обхода санкций. Новый президент США</w:t>
      </w:r>
      <w:r w:rsidR="00CB4639">
        <w:rPr>
          <w:rFonts w:ascii="Arial" w:hAnsi="Arial" w:cs="Arial"/>
          <w:bCs/>
          <w:sz w:val="20"/>
          <w:szCs w:val="20"/>
        </w:rPr>
        <w:t xml:space="preserve">, </w:t>
      </w:r>
      <w:r w:rsidR="00747960" w:rsidRPr="00205EE4">
        <w:rPr>
          <w:rFonts w:ascii="Arial" w:hAnsi="Arial" w:cs="Arial"/>
          <w:bCs/>
          <w:sz w:val="20"/>
          <w:szCs w:val="20"/>
        </w:rPr>
        <w:t xml:space="preserve">оказавшийся заложником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политики </w:t>
      </w:r>
      <w:r w:rsidR="00747960" w:rsidRPr="00205EE4">
        <w:rPr>
          <w:rFonts w:ascii="Arial" w:hAnsi="Arial" w:cs="Arial"/>
          <w:bCs/>
          <w:sz w:val="20"/>
          <w:szCs w:val="20"/>
        </w:rPr>
        <w:t>предыдущей администраци</w:t>
      </w:r>
      <w:r w:rsidR="00205EE4" w:rsidRPr="00205EE4">
        <w:rPr>
          <w:rFonts w:ascii="Arial" w:hAnsi="Arial" w:cs="Arial"/>
          <w:bCs/>
          <w:sz w:val="20"/>
          <w:szCs w:val="20"/>
        </w:rPr>
        <w:t>и и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 находящийся под </w:t>
      </w:r>
      <w:r w:rsidR="00CB4639">
        <w:rPr>
          <w:rFonts w:ascii="Arial" w:hAnsi="Arial" w:cs="Arial"/>
          <w:bCs/>
          <w:sz w:val="20"/>
          <w:szCs w:val="20"/>
        </w:rPr>
        <w:t xml:space="preserve">сильнейшим 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давлением </w:t>
      </w:r>
      <w:r w:rsidR="00747960" w:rsidRPr="00205EE4">
        <w:rPr>
          <w:rFonts w:ascii="Arial" w:hAnsi="Arial" w:cs="Arial"/>
          <w:bCs/>
          <w:sz w:val="20"/>
          <w:szCs w:val="20"/>
        </w:rPr>
        <w:t>части американской элиты,</w:t>
      </w:r>
      <w:r w:rsidR="00CB4639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CB4639">
        <w:rPr>
          <w:rFonts w:ascii="Arial" w:hAnsi="Arial" w:cs="Arial"/>
          <w:bCs/>
          <w:sz w:val="20"/>
          <w:szCs w:val="20"/>
        </w:rPr>
        <w:t>понимая, что с Россией лучше торговать, а не воевать,</w:t>
      </w:r>
      <w:r w:rsidR="00CB4639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также </w:t>
      </w:r>
      <w:r w:rsidR="00747960" w:rsidRPr="00205EE4">
        <w:rPr>
          <w:rFonts w:ascii="Arial" w:hAnsi="Arial" w:cs="Arial"/>
          <w:bCs/>
          <w:sz w:val="20"/>
          <w:szCs w:val="20"/>
        </w:rPr>
        <w:t>ищет выход</w:t>
      </w:r>
      <w:r w:rsidR="00205EE4" w:rsidRPr="00205EE4">
        <w:rPr>
          <w:rFonts w:ascii="Arial" w:hAnsi="Arial" w:cs="Arial"/>
          <w:bCs/>
          <w:sz w:val="20"/>
          <w:szCs w:val="20"/>
        </w:rPr>
        <w:t>ы</w:t>
      </w:r>
      <w:r w:rsidR="00747960" w:rsidRPr="00205EE4">
        <w:rPr>
          <w:rFonts w:ascii="Arial" w:hAnsi="Arial" w:cs="Arial"/>
          <w:bCs/>
          <w:sz w:val="20"/>
          <w:szCs w:val="20"/>
        </w:rPr>
        <w:t xml:space="preserve"> из санкционного тупика.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При положительной тенденции инвестиционной активности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CD6630">
        <w:rPr>
          <w:rFonts w:ascii="Arial" w:hAnsi="Arial" w:cs="Arial"/>
          <w:bCs/>
          <w:sz w:val="20"/>
          <w:szCs w:val="20"/>
        </w:rPr>
        <w:t xml:space="preserve"> рост ВВП до 5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CA7882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</w:t>
      </w:r>
      <w:proofErr w:type="gramStart"/>
      <w:r w:rsidR="00FD4338">
        <w:rPr>
          <w:rFonts w:ascii="Arial" w:hAnsi="Arial" w:cs="Arial"/>
          <w:sz w:val="20"/>
          <w:szCs w:val="20"/>
        </w:rPr>
        <w:t>роль</w:t>
      </w:r>
      <w:proofErr w:type="gramEnd"/>
      <w:r w:rsidR="00FD4338">
        <w:rPr>
          <w:rFonts w:ascii="Arial" w:hAnsi="Arial" w:cs="Arial"/>
          <w:sz w:val="20"/>
          <w:szCs w:val="20"/>
        </w:rPr>
        <w:t xml:space="preserve"> </w:t>
      </w:r>
      <w:r w:rsidR="004202BC">
        <w:rPr>
          <w:rFonts w:ascii="Arial" w:hAnsi="Arial" w:cs="Arial"/>
          <w:sz w:val="20"/>
          <w:szCs w:val="20"/>
        </w:rPr>
        <w:t>как для населения, так и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4202BC">
        <w:rPr>
          <w:rFonts w:ascii="Arial" w:hAnsi="Arial" w:cs="Arial"/>
          <w:sz w:val="20"/>
          <w:szCs w:val="20"/>
        </w:rPr>
        <w:t>а, и в целом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6A1F86" w:rsidRDefault="00E95E4F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hyperlink r:id="rId13" w:history="1">
        <w:r w:rsidR="006238C0" w:rsidRPr="006238C0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6238C0">
        <w:rPr>
          <w:rFonts w:ascii="Arial" w:hAnsi="Arial" w:cs="Arial"/>
          <w:sz w:val="20"/>
          <w:szCs w:val="20"/>
        </w:rPr>
        <w:t xml:space="preserve"> в 2014 году</w:t>
      </w:r>
      <w:r w:rsidR="00104E36">
        <w:rPr>
          <w:rFonts w:ascii="Arial" w:hAnsi="Arial" w:cs="Arial"/>
          <w:sz w:val="20"/>
          <w:szCs w:val="20"/>
        </w:rPr>
        <w:t xml:space="preserve"> </w:t>
      </w:r>
      <w:r w:rsidR="006238C0">
        <w:rPr>
          <w:rFonts w:ascii="Arial" w:hAnsi="Arial" w:cs="Arial"/>
          <w:sz w:val="20"/>
          <w:szCs w:val="20"/>
        </w:rPr>
        <w:t xml:space="preserve">лишь 6,2 % </w:t>
      </w:r>
      <w:r w:rsidR="00CA7882">
        <w:rPr>
          <w:rFonts w:ascii="Arial" w:hAnsi="Arial" w:cs="Arial"/>
          <w:sz w:val="20"/>
          <w:szCs w:val="20"/>
        </w:rPr>
        <w:t xml:space="preserve">опрошенных лиц </w:t>
      </w:r>
      <w:r w:rsidR="006238C0">
        <w:rPr>
          <w:rFonts w:ascii="Arial" w:hAnsi="Arial" w:cs="Arial"/>
          <w:sz w:val="20"/>
          <w:szCs w:val="20"/>
        </w:rPr>
        <w:t xml:space="preserve">были не удовлетворены своими жилищными условиями по сравнению с 15,2 % в 2005 году. </w:t>
      </w:r>
      <w:r w:rsidR="00867A60">
        <w:rPr>
          <w:rFonts w:ascii="Arial" w:hAnsi="Arial" w:cs="Arial"/>
          <w:sz w:val="20"/>
          <w:szCs w:val="20"/>
        </w:rPr>
        <w:t xml:space="preserve">Снижение интереса объяснимо повышением затрат на содержание </w:t>
      </w:r>
      <w:r w:rsidR="001104DC">
        <w:rPr>
          <w:rFonts w:ascii="Arial" w:hAnsi="Arial" w:cs="Arial"/>
          <w:sz w:val="20"/>
          <w:szCs w:val="20"/>
        </w:rPr>
        <w:t xml:space="preserve">жилья </w:t>
      </w:r>
      <w:r w:rsidR="00867A60">
        <w:rPr>
          <w:rFonts w:ascii="Arial" w:hAnsi="Arial" w:cs="Arial"/>
          <w:sz w:val="20"/>
          <w:szCs w:val="20"/>
        </w:rPr>
        <w:t xml:space="preserve">и снижением реальных доходов населения. </w:t>
      </w:r>
      <w:r w:rsidR="003A4F3A">
        <w:rPr>
          <w:rFonts w:ascii="Arial" w:hAnsi="Arial" w:cs="Arial"/>
          <w:sz w:val="20"/>
          <w:szCs w:val="20"/>
        </w:rPr>
        <w:t xml:space="preserve">В </w:t>
      </w:r>
      <w:r w:rsidR="002F7B54">
        <w:rPr>
          <w:rFonts w:ascii="Arial" w:hAnsi="Arial" w:cs="Arial"/>
          <w:sz w:val="20"/>
          <w:szCs w:val="20"/>
        </w:rPr>
        <w:t>таких условиях</w:t>
      </w:r>
      <w:r w:rsidR="004202BC">
        <w:rPr>
          <w:rFonts w:ascii="Arial" w:hAnsi="Arial" w:cs="Arial"/>
          <w:sz w:val="20"/>
          <w:szCs w:val="20"/>
        </w:rPr>
        <w:t xml:space="preserve"> </w:t>
      </w:r>
      <w:r w:rsidR="0032535A">
        <w:rPr>
          <w:rFonts w:ascii="Arial" w:hAnsi="Arial" w:cs="Arial"/>
          <w:sz w:val="20"/>
          <w:szCs w:val="20"/>
        </w:rPr>
        <w:t xml:space="preserve">спросом пользуются в основном качественные объекты </w:t>
      </w:r>
      <w:proofErr w:type="gramStart"/>
      <w:r w:rsidR="0032535A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32535A">
        <w:rPr>
          <w:rFonts w:ascii="Arial" w:hAnsi="Arial" w:cs="Arial"/>
          <w:sz w:val="20"/>
          <w:szCs w:val="20"/>
        </w:rPr>
        <w:t>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</w:t>
      </w:r>
      <w:r w:rsidR="00104E36">
        <w:rPr>
          <w:rFonts w:ascii="Arial" w:hAnsi="Arial" w:cs="Arial"/>
          <w:sz w:val="20"/>
          <w:szCs w:val="20"/>
        </w:rPr>
        <w:t>ает перспективную недвижимость с целью перепродаж</w:t>
      </w:r>
      <w:r w:rsidR="00CA7882">
        <w:rPr>
          <w:rFonts w:ascii="Arial" w:hAnsi="Arial" w:cs="Arial"/>
          <w:sz w:val="20"/>
          <w:szCs w:val="20"/>
        </w:rPr>
        <w:t xml:space="preserve">и </w:t>
      </w:r>
      <w:r w:rsidR="00104E36">
        <w:rPr>
          <w:rFonts w:ascii="Arial" w:hAnsi="Arial" w:cs="Arial"/>
          <w:sz w:val="20"/>
          <w:szCs w:val="20"/>
        </w:rPr>
        <w:t>в будущем или в рентных целях.</w:t>
      </w:r>
      <w:r w:rsidR="00ED2405">
        <w:rPr>
          <w:rFonts w:ascii="Arial" w:hAnsi="Arial" w:cs="Arial"/>
          <w:sz w:val="20"/>
          <w:szCs w:val="20"/>
        </w:rPr>
        <w:t xml:space="preserve"> </w:t>
      </w:r>
    </w:p>
    <w:p w:rsidR="00CA7882" w:rsidRDefault="00777D84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российского рынка недвижимости огромный потенциал роста. </w:t>
      </w:r>
      <w:r w:rsidR="006A1F86">
        <w:rPr>
          <w:rFonts w:ascii="Arial" w:hAnsi="Arial" w:cs="Arial"/>
          <w:sz w:val="20"/>
          <w:szCs w:val="20"/>
        </w:rPr>
        <w:t xml:space="preserve">Вероятно, </w:t>
      </w:r>
      <w:r w:rsidR="00ED2405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>
        <w:rPr>
          <w:rFonts w:ascii="Arial" w:hAnsi="Arial" w:cs="Arial"/>
          <w:sz w:val="20"/>
          <w:szCs w:val="20"/>
        </w:rPr>
        <w:t>следовательно,</w:t>
      </w:r>
      <w:r w:rsidR="00ED2405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 xml:space="preserve">обеспеченность </w:t>
      </w:r>
      <w:r w:rsidR="002F7B54">
        <w:rPr>
          <w:rFonts w:ascii="Arial" w:hAnsi="Arial" w:cs="Arial"/>
          <w:sz w:val="20"/>
          <w:szCs w:val="20"/>
        </w:rPr>
        <w:t xml:space="preserve">жильём </w:t>
      </w:r>
      <w:r w:rsidR="000351BE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>
        <w:rPr>
          <w:rFonts w:ascii="Arial" w:hAnsi="Arial" w:cs="Arial"/>
          <w:sz w:val="20"/>
          <w:szCs w:val="20"/>
        </w:rPr>
        <w:t>в перспективе</w:t>
      </w:r>
      <w:r w:rsidR="000351BE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>
        <w:rPr>
          <w:rFonts w:ascii="Arial" w:hAnsi="Arial" w:cs="Arial"/>
          <w:sz w:val="20"/>
          <w:szCs w:val="20"/>
        </w:rPr>
        <w:t xml:space="preserve">– к </w:t>
      </w:r>
      <w:r w:rsidR="000351BE">
        <w:rPr>
          <w:rFonts w:ascii="Arial" w:hAnsi="Arial" w:cs="Arial"/>
          <w:sz w:val="20"/>
          <w:szCs w:val="20"/>
        </w:rPr>
        <w:t xml:space="preserve"> 30 </w:t>
      </w:r>
      <w:r w:rsidR="00D80EA0">
        <w:rPr>
          <w:rFonts w:ascii="Arial" w:hAnsi="Arial" w:cs="Arial"/>
          <w:sz w:val="20"/>
          <w:szCs w:val="20"/>
        </w:rPr>
        <w:t>%</w:t>
      </w:r>
      <w:r w:rsidR="000351BE">
        <w:rPr>
          <w:rFonts w:ascii="Arial" w:hAnsi="Arial" w:cs="Arial"/>
          <w:sz w:val="20"/>
          <w:szCs w:val="20"/>
        </w:rPr>
        <w:t xml:space="preserve"> </w:t>
      </w:r>
      <w:r w:rsidR="006800E9">
        <w:rPr>
          <w:rFonts w:ascii="Arial" w:hAnsi="Arial" w:cs="Arial"/>
          <w:sz w:val="20"/>
          <w:szCs w:val="20"/>
        </w:rPr>
        <w:t xml:space="preserve"> и более </w:t>
      </w:r>
      <w:r w:rsidR="000351BE">
        <w:rPr>
          <w:rFonts w:ascii="Arial" w:hAnsi="Arial" w:cs="Arial"/>
          <w:sz w:val="20"/>
          <w:szCs w:val="20"/>
        </w:rPr>
        <w:t>(</w:t>
      </w:r>
      <w:r w:rsidR="002F7B54">
        <w:rPr>
          <w:rFonts w:ascii="Arial" w:hAnsi="Arial" w:cs="Arial"/>
          <w:sz w:val="20"/>
          <w:szCs w:val="20"/>
        </w:rPr>
        <w:t>на 2015 год</w:t>
      </w:r>
      <w:r w:rsidR="000351BE">
        <w:rPr>
          <w:rFonts w:ascii="Arial" w:hAnsi="Arial" w:cs="Arial"/>
          <w:sz w:val="20"/>
          <w:szCs w:val="20"/>
        </w:rPr>
        <w:t xml:space="preserve"> у нас около 13</w:t>
      </w:r>
      <w:r w:rsidR="006A1F86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>%)</w:t>
      </w:r>
      <w:r w:rsidR="00D80EA0">
        <w:rPr>
          <w:rFonts w:ascii="Arial" w:hAnsi="Arial" w:cs="Arial"/>
          <w:sz w:val="20"/>
          <w:szCs w:val="20"/>
        </w:rPr>
        <w:t xml:space="preserve">. </w:t>
      </w:r>
      <w:r w:rsidR="006A1F86">
        <w:rPr>
          <w:rFonts w:ascii="Arial" w:hAnsi="Arial" w:cs="Arial"/>
          <w:sz w:val="20"/>
          <w:szCs w:val="20"/>
        </w:rPr>
        <w:t>Для сравнения</w:t>
      </w:r>
      <w:r w:rsidR="00D80EA0">
        <w:rPr>
          <w:rFonts w:ascii="Arial" w:hAnsi="Arial" w:cs="Arial"/>
          <w:sz w:val="20"/>
          <w:szCs w:val="20"/>
        </w:rPr>
        <w:t xml:space="preserve">, </w:t>
      </w:r>
      <w:r w:rsidR="00D166FA">
        <w:rPr>
          <w:rFonts w:ascii="Arial" w:hAnsi="Arial" w:cs="Arial"/>
          <w:sz w:val="20"/>
          <w:szCs w:val="20"/>
        </w:rPr>
        <w:t>по данным на 2015 год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6A1F86">
        <w:rPr>
          <w:rFonts w:ascii="Arial" w:hAnsi="Arial" w:cs="Arial"/>
          <w:sz w:val="20"/>
          <w:szCs w:val="20"/>
        </w:rPr>
        <w:t xml:space="preserve">эти показатели </w:t>
      </w:r>
      <w:r w:rsidR="004A2649">
        <w:rPr>
          <w:rFonts w:ascii="Arial" w:hAnsi="Arial" w:cs="Arial"/>
          <w:sz w:val="20"/>
          <w:szCs w:val="20"/>
        </w:rPr>
        <w:t>(соответственно)</w:t>
      </w:r>
      <w:r w:rsidR="00D166FA">
        <w:rPr>
          <w:rFonts w:ascii="Arial" w:hAnsi="Arial" w:cs="Arial"/>
          <w:sz w:val="20"/>
          <w:szCs w:val="20"/>
        </w:rPr>
        <w:t>: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D80EA0">
        <w:rPr>
          <w:rFonts w:ascii="Arial" w:hAnsi="Arial" w:cs="Arial"/>
          <w:sz w:val="20"/>
          <w:szCs w:val="20"/>
        </w:rPr>
        <w:t>в Германии</w:t>
      </w:r>
      <w:r w:rsidR="00CA7882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>
        <w:rPr>
          <w:rFonts w:ascii="Arial" w:hAnsi="Arial" w:cs="Arial"/>
          <w:sz w:val="20"/>
          <w:szCs w:val="20"/>
        </w:rPr>
        <w:t>42,9</w:t>
      </w:r>
      <w:r w:rsidR="00CA7882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>
        <w:rPr>
          <w:rFonts w:ascii="Arial" w:hAnsi="Arial" w:cs="Arial"/>
          <w:sz w:val="20"/>
          <w:szCs w:val="20"/>
        </w:rPr>
        <w:t>4</w:t>
      </w:r>
      <w:r w:rsidR="00975559">
        <w:rPr>
          <w:rFonts w:ascii="Arial" w:hAnsi="Arial" w:cs="Arial"/>
          <w:sz w:val="20"/>
          <w:szCs w:val="20"/>
        </w:rPr>
        <w:t>6,6</w:t>
      </w:r>
      <w:r w:rsidR="00363A9A">
        <w:rPr>
          <w:rFonts w:ascii="Arial" w:hAnsi="Arial" w:cs="Arial"/>
          <w:sz w:val="20"/>
          <w:szCs w:val="20"/>
        </w:rPr>
        <w:t xml:space="preserve"> %,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363A9A">
        <w:rPr>
          <w:rFonts w:ascii="Arial" w:hAnsi="Arial" w:cs="Arial"/>
          <w:sz w:val="20"/>
          <w:szCs w:val="20"/>
        </w:rPr>
        <w:t xml:space="preserve">Финляндии </w:t>
      </w:r>
      <w:r w:rsidR="00547D1B">
        <w:rPr>
          <w:rFonts w:ascii="Arial" w:hAnsi="Arial" w:cs="Arial"/>
          <w:sz w:val="20"/>
          <w:szCs w:val="20"/>
        </w:rPr>
        <w:t>25,7 кв.м./чел. и 41,8</w:t>
      </w:r>
      <w:r w:rsidR="00D166FA">
        <w:rPr>
          <w:rFonts w:ascii="Arial" w:hAnsi="Arial" w:cs="Arial"/>
          <w:sz w:val="20"/>
          <w:szCs w:val="20"/>
        </w:rPr>
        <w:t xml:space="preserve"> % (на 2000 г.),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DA6F82">
        <w:rPr>
          <w:rFonts w:ascii="Arial" w:hAnsi="Arial" w:cs="Arial"/>
          <w:sz w:val="20"/>
          <w:szCs w:val="20"/>
        </w:rPr>
        <w:t>Швеци</w:t>
      </w:r>
      <w:r w:rsidR="004A2649">
        <w:rPr>
          <w:rFonts w:ascii="Arial" w:hAnsi="Arial" w:cs="Arial"/>
          <w:sz w:val="20"/>
          <w:szCs w:val="20"/>
        </w:rPr>
        <w:t>и -</w:t>
      </w:r>
      <w:r w:rsidR="00DA6F82">
        <w:rPr>
          <w:rFonts w:ascii="Arial" w:hAnsi="Arial" w:cs="Arial"/>
          <w:sz w:val="20"/>
          <w:szCs w:val="20"/>
        </w:rPr>
        <w:t xml:space="preserve">  </w:t>
      </w:r>
      <w:r w:rsidR="00D80EA0">
        <w:rPr>
          <w:rFonts w:ascii="Arial" w:hAnsi="Arial" w:cs="Arial"/>
          <w:sz w:val="20"/>
          <w:szCs w:val="20"/>
        </w:rPr>
        <w:t>45,2 кв.м./чел</w:t>
      </w:r>
      <w:r w:rsidR="00DA6F82">
        <w:rPr>
          <w:rFonts w:ascii="Arial" w:hAnsi="Arial" w:cs="Arial"/>
          <w:sz w:val="20"/>
          <w:szCs w:val="20"/>
        </w:rPr>
        <w:t xml:space="preserve"> </w:t>
      </w:r>
      <w:r w:rsidR="004A2649">
        <w:rPr>
          <w:rFonts w:ascii="Arial" w:hAnsi="Arial" w:cs="Arial"/>
          <w:sz w:val="20"/>
          <w:szCs w:val="20"/>
        </w:rPr>
        <w:t xml:space="preserve">и </w:t>
      </w:r>
      <w:r w:rsidR="00D166FA">
        <w:rPr>
          <w:rFonts w:ascii="Arial" w:hAnsi="Arial" w:cs="Arial"/>
          <w:sz w:val="20"/>
          <w:szCs w:val="20"/>
        </w:rPr>
        <w:t>30,4</w:t>
      </w:r>
      <w:r w:rsidR="00DA6F82">
        <w:rPr>
          <w:rFonts w:ascii="Arial" w:hAnsi="Arial" w:cs="Arial"/>
          <w:sz w:val="20"/>
          <w:szCs w:val="20"/>
        </w:rPr>
        <w:t xml:space="preserve"> %</w:t>
      </w:r>
      <w:r w:rsidR="00D166FA">
        <w:rPr>
          <w:rFonts w:ascii="Arial" w:hAnsi="Arial" w:cs="Arial"/>
          <w:sz w:val="20"/>
          <w:szCs w:val="20"/>
        </w:rPr>
        <w:t>, в Великобритани</w:t>
      </w:r>
      <w:r w:rsidR="006800E9">
        <w:rPr>
          <w:rFonts w:ascii="Arial" w:hAnsi="Arial" w:cs="Arial"/>
          <w:sz w:val="20"/>
          <w:szCs w:val="20"/>
        </w:rPr>
        <w:t>и – 44 кв.м./чел. и  30,8 %.</w:t>
      </w:r>
      <w:r w:rsidR="005A4413">
        <w:rPr>
          <w:rFonts w:ascii="Arial" w:hAnsi="Arial" w:cs="Arial"/>
          <w:sz w:val="20"/>
          <w:szCs w:val="20"/>
        </w:rPr>
        <w:t xml:space="preserve"> </w:t>
      </w:r>
    </w:p>
    <w:p w:rsidR="00D240BF" w:rsidRPr="00D240BF" w:rsidRDefault="003F66AF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Будет возрастать</w:t>
      </w:r>
      <w:r w:rsidR="005A4413">
        <w:rPr>
          <w:rFonts w:ascii="Arial" w:hAnsi="Arial" w:cs="Arial"/>
          <w:sz w:val="20"/>
          <w:szCs w:val="20"/>
        </w:rPr>
        <w:t xml:space="preserve"> </w:t>
      </w:r>
      <w:r w:rsidR="002E00CC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>
        <w:rPr>
          <w:rFonts w:ascii="Arial" w:hAnsi="Arial" w:cs="Arial"/>
          <w:sz w:val="20"/>
          <w:szCs w:val="20"/>
        </w:rPr>
        <w:t>коммерческого назначения</w:t>
      </w:r>
      <w:r>
        <w:rPr>
          <w:rFonts w:ascii="Arial" w:hAnsi="Arial" w:cs="Arial"/>
          <w:sz w:val="20"/>
          <w:szCs w:val="20"/>
        </w:rPr>
        <w:t>: производственных, складских, офисных, торговых</w:t>
      </w:r>
      <w:r w:rsidR="005A44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объектах. </w:t>
      </w:r>
      <w:r w:rsidR="005A4413">
        <w:rPr>
          <w:rFonts w:ascii="Arial" w:hAnsi="Arial" w:cs="Arial"/>
          <w:sz w:val="20"/>
          <w:szCs w:val="20"/>
        </w:rPr>
        <w:t xml:space="preserve">Степень </w:t>
      </w:r>
      <w:r w:rsidR="007024B7">
        <w:rPr>
          <w:rFonts w:ascii="Arial" w:hAnsi="Arial" w:cs="Arial"/>
          <w:sz w:val="20"/>
          <w:szCs w:val="20"/>
        </w:rPr>
        <w:t xml:space="preserve">физического </w:t>
      </w:r>
      <w:r w:rsidR="005A4413">
        <w:rPr>
          <w:rFonts w:ascii="Arial" w:hAnsi="Arial" w:cs="Arial"/>
          <w:sz w:val="20"/>
          <w:szCs w:val="20"/>
        </w:rPr>
        <w:t xml:space="preserve">износа </w:t>
      </w:r>
      <w:r>
        <w:rPr>
          <w:rFonts w:ascii="Arial" w:hAnsi="Arial" w:cs="Arial"/>
          <w:sz w:val="20"/>
          <w:szCs w:val="20"/>
        </w:rPr>
        <w:t xml:space="preserve">имеющихся </w:t>
      </w:r>
      <w:r w:rsidR="002E00CC">
        <w:rPr>
          <w:rFonts w:ascii="Arial" w:hAnsi="Arial" w:cs="Arial"/>
          <w:sz w:val="20"/>
          <w:szCs w:val="20"/>
        </w:rPr>
        <w:t>коммерческих объектов по</w:t>
      </w:r>
      <w:r w:rsidR="007024B7">
        <w:rPr>
          <w:rFonts w:ascii="Arial" w:hAnsi="Arial" w:cs="Arial"/>
          <w:sz w:val="20"/>
          <w:szCs w:val="20"/>
        </w:rPr>
        <w:t xml:space="preserve"> учётным</w:t>
      </w:r>
      <w:r w:rsidR="002E00CC">
        <w:rPr>
          <w:rFonts w:ascii="Arial" w:hAnsi="Arial" w:cs="Arial"/>
          <w:sz w:val="20"/>
          <w:szCs w:val="20"/>
        </w:rPr>
        <w:t xml:space="preserve"> данным </w:t>
      </w:r>
      <w:hyperlink r:id="rId14" w:history="1">
        <w:proofErr w:type="gramStart"/>
        <w:r w:rsidR="005A4413" w:rsidRPr="006A1F86">
          <w:rPr>
            <w:rStyle w:val="a4"/>
            <w:rFonts w:ascii="Arial" w:hAnsi="Arial" w:cs="Arial"/>
            <w:sz w:val="20"/>
            <w:szCs w:val="20"/>
          </w:rPr>
          <w:t>на конец</w:t>
        </w:r>
        <w:proofErr w:type="gramEnd"/>
        <w:r w:rsidR="005A4413" w:rsidRPr="006A1F86">
          <w:rPr>
            <w:rStyle w:val="a4"/>
            <w:rFonts w:ascii="Arial" w:hAnsi="Arial" w:cs="Arial"/>
            <w:sz w:val="20"/>
            <w:szCs w:val="20"/>
          </w:rPr>
          <w:t xml:space="preserve"> 2010 года</w:t>
        </w:r>
      </w:hyperlink>
      <w:r w:rsidR="005A4413">
        <w:rPr>
          <w:rFonts w:ascii="Arial" w:hAnsi="Arial" w:cs="Arial"/>
          <w:sz w:val="20"/>
          <w:szCs w:val="20"/>
        </w:rPr>
        <w:t xml:space="preserve"> составила </w:t>
      </w:r>
      <w:r w:rsidR="005A4413" w:rsidRPr="006A1F86">
        <w:rPr>
          <w:rFonts w:ascii="Arial" w:hAnsi="Arial" w:cs="Arial"/>
          <w:sz w:val="20"/>
          <w:szCs w:val="20"/>
        </w:rPr>
        <w:t>29,1</w:t>
      </w:r>
      <w:r w:rsidR="005A4413">
        <w:rPr>
          <w:rFonts w:ascii="Arial" w:hAnsi="Arial" w:cs="Arial"/>
          <w:sz w:val="20"/>
          <w:szCs w:val="20"/>
        </w:rPr>
        <w:t xml:space="preserve"> %.</w:t>
      </w:r>
      <w:r w:rsidR="007024B7">
        <w:rPr>
          <w:rFonts w:ascii="Arial" w:hAnsi="Arial" w:cs="Arial"/>
          <w:sz w:val="20"/>
          <w:szCs w:val="20"/>
        </w:rPr>
        <w:t xml:space="preserve"> Полный реальный износ значительно выше.</w:t>
      </w:r>
    </w:p>
    <w:p w:rsidR="00CA7882" w:rsidRDefault="00CA7882" w:rsidP="003F5F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5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7347A7" w:rsidRDefault="00E95E4F" w:rsidP="006A1F86">
      <w:pPr>
        <w:pStyle w:val="a3"/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hyperlink r:id="rId16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</w:t>
        </w:r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t</w:t>
        </w:r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.aspx?TblID=302-01&amp;pid=sors&amp;sid=ITM_27910</w:t>
        </w:r>
      </w:hyperlink>
      <w:r w:rsidR="00BC39E3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>,</w:t>
      </w:r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статистики </w:t>
      </w:r>
      <w:hyperlink r:id="rId17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="00BC39E3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204906" w:rsidRPr="007024B7" w:rsidRDefault="00E95E4F" w:rsidP="007024B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8" w:history="1">
        <w:r w:rsidR="006A1F86" w:rsidRPr="006A1F86">
          <w:rPr>
            <w:rStyle w:val="a4"/>
            <w:rFonts w:ascii="Arial" w:hAnsi="Arial" w:cs="Arial"/>
            <w:sz w:val="20"/>
            <w:szCs w:val="20"/>
          </w:rPr>
          <w:t>http://ec.europa.eu/eurostat/data/database</w:t>
        </w:r>
      </w:hyperlink>
      <w:r w:rsidR="00BC39E3">
        <w:rPr>
          <w:rStyle w:val="a4"/>
          <w:rFonts w:ascii="Arial" w:hAnsi="Arial" w:cs="Arial"/>
          <w:sz w:val="20"/>
          <w:szCs w:val="20"/>
        </w:rPr>
        <w:t>.</w:t>
      </w: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8E15A9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10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.0</w:t>
      </w:r>
      <w:r w:rsidR="007024B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7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Анализ может быть использован подписчиками как частично от имени подписчиков, так и в контексте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CA7882" w:rsidRP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9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2C756A" w:rsidRDefault="002C756A" w:rsidP="00CA78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C756A" w:rsidRPr="00D240BF" w:rsidRDefault="002C756A" w:rsidP="006800E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2C756A" w:rsidRPr="00D240BF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13559"/>
    <w:rsid w:val="000141E7"/>
    <w:rsid w:val="00016735"/>
    <w:rsid w:val="00026385"/>
    <w:rsid w:val="000351BE"/>
    <w:rsid w:val="000366C6"/>
    <w:rsid w:val="000403A4"/>
    <w:rsid w:val="00040C4B"/>
    <w:rsid w:val="00047DF5"/>
    <w:rsid w:val="00053B35"/>
    <w:rsid w:val="00056BB8"/>
    <w:rsid w:val="00067A3B"/>
    <w:rsid w:val="00080BB3"/>
    <w:rsid w:val="0009013F"/>
    <w:rsid w:val="000911DA"/>
    <w:rsid w:val="00092E78"/>
    <w:rsid w:val="000B206B"/>
    <w:rsid w:val="000C2942"/>
    <w:rsid w:val="000D1D84"/>
    <w:rsid w:val="000D22DA"/>
    <w:rsid w:val="000E5AD4"/>
    <w:rsid w:val="00100CF7"/>
    <w:rsid w:val="00104E36"/>
    <w:rsid w:val="001060BB"/>
    <w:rsid w:val="001104DC"/>
    <w:rsid w:val="001301A5"/>
    <w:rsid w:val="00140160"/>
    <w:rsid w:val="00140EA7"/>
    <w:rsid w:val="00152689"/>
    <w:rsid w:val="00177CD7"/>
    <w:rsid w:val="00191CD5"/>
    <w:rsid w:val="001B6969"/>
    <w:rsid w:val="001B7090"/>
    <w:rsid w:val="001B7B54"/>
    <w:rsid w:val="001C4460"/>
    <w:rsid w:val="001C57AD"/>
    <w:rsid w:val="001F0C1B"/>
    <w:rsid w:val="001F29BD"/>
    <w:rsid w:val="001F539F"/>
    <w:rsid w:val="00204906"/>
    <w:rsid w:val="00205EE4"/>
    <w:rsid w:val="002123B8"/>
    <w:rsid w:val="00243176"/>
    <w:rsid w:val="002505FC"/>
    <w:rsid w:val="00252E12"/>
    <w:rsid w:val="00256DA7"/>
    <w:rsid w:val="0026024C"/>
    <w:rsid w:val="00271F89"/>
    <w:rsid w:val="00293664"/>
    <w:rsid w:val="002A1D5D"/>
    <w:rsid w:val="002A6ABE"/>
    <w:rsid w:val="002B0A96"/>
    <w:rsid w:val="002B0CDD"/>
    <w:rsid w:val="002B277A"/>
    <w:rsid w:val="002C49DB"/>
    <w:rsid w:val="002C756A"/>
    <w:rsid w:val="002D02EC"/>
    <w:rsid w:val="002D2333"/>
    <w:rsid w:val="002D50C0"/>
    <w:rsid w:val="002E00CC"/>
    <w:rsid w:val="002F0729"/>
    <w:rsid w:val="002F6982"/>
    <w:rsid w:val="002F7B54"/>
    <w:rsid w:val="003009B5"/>
    <w:rsid w:val="00301A2F"/>
    <w:rsid w:val="003161B1"/>
    <w:rsid w:val="0032535A"/>
    <w:rsid w:val="00333492"/>
    <w:rsid w:val="0033390A"/>
    <w:rsid w:val="00350A1F"/>
    <w:rsid w:val="00363A9A"/>
    <w:rsid w:val="00372B0C"/>
    <w:rsid w:val="00385A44"/>
    <w:rsid w:val="003927FB"/>
    <w:rsid w:val="003A4F3A"/>
    <w:rsid w:val="003B1B79"/>
    <w:rsid w:val="003D5D10"/>
    <w:rsid w:val="003E0696"/>
    <w:rsid w:val="003E6BB7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71D0"/>
    <w:rsid w:val="00430E8D"/>
    <w:rsid w:val="00430ED2"/>
    <w:rsid w:val="004314E1"/>
    <w:rsid w:val="00444E5D"/>
    <w:rsid w:val="004539BF"/>
    <w:rsid w:val="00460FA6"/>
    <w:rsid w:val="00461E59"/>
    <w:rsid w:val="00462754"/>
    <w:rsid w:val="00473580"/>
    <w:rsid w:val="00477995"/>
    <w:rsid w:val="004A01C7"/>
    <w:rsid w:val="004A2649"/>
    <w:rsid w:val="004B08BB"/>
    <w:rsid w:val="004B49DD"/>
    <w:rsid w:val="004B503F"/>
    <w:rsid w:val="004D2D2E"/>
    <w:rsid w:val="004D4E9B"/>
    <w:rsid w:val="004E6AC8"/>
    <w:rsid w:val="00530E7B"/>
    <w:rsid w:val="00547D1B"/>
    <w:rsid w:val="00551784"/>
    <w:rsid w:val="0056407C"/>
    <w:rsid w:val="0057185E"/>
    <w:rsid w:val="005768D2"/>
    <w:rsid w:val="005828A4"/>
    <w:rsid w:val="00587468"/>
    <w:rsid w:val="005A05B7"/>
    <w:rsid w:val="005A4413"/>
    <w:rsid w:val="005B137A"/>
    <w:rsid w:val="005B2BF5"/>
    <w:rsid w:val="005B339E"/>
    <w:rsid w:val="005C403B"/>
    <w:rsid w:val="005C5233"/>
    <w:rsid w:val="005D14A7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3E6A"/>
    <w:rsid w:val="00606832"/>
    <w:rsid w:val="006238C0"/>
    <w:rsid w:val="00623C2E"/>
    <w:rsid w:val="0062685E"/>
    <w:rsid w:val="006428EF"/>
    <w:rsid w:val="00657CBD"/>
    <w:rsid w:val="0066087E"/>
    <w:rsid w:val="0066736E"/>
    <w:rsid w:val="006800E9"/>
    <w:rsid w:val="00680879"/>
    <w:rsid w:val="00686BA8"/>
    <w:rsid w:val="006A1F86"/>
    <w:rsid w:val="006A4604"/>
    <w:rsid w:val="006B6D7E"/>
    <w:rsid w:val="006C0BD3"/>
    <w:rsid w:val="006F1B9B"/>
    <w:rsid w:val="007024B7"/>
    <w:rsid w:val="00711D5D"/>
    <w:rsid w:val="007147F7"/>
    <w:rsid w:val="00741994"/>
    <w:rsid w:val="00747960"/>
    <w:rsid w:val="00763826"/>
    <w:rsid w:val="00777D84"/>
    <w:rsid w:val="00791E08"/>
    <w:rsid w:val="00791FC4"/>
    <w:rsid w:val="00795907"/>
    <w:rsid w:val="0079696A"/>
    <w:rsid w:val="007A791F"/>
    <w:rsid w:val="007B0B29"/>
    <w:rsid w:val="007D31CE"/>
    <w:rsid w:val="007D55E6"/>
    <w:rsid w:val="007D7764"/>
    <w:rsid w:val="007E57BA"/>
    <w:rsid w:val="007F2282"/>
    <w:rsid w:val="007F6A61"/>
    <w:rsid w:val="0080398A"/>
    <w:rsid w:val="00811B1C"/>
    <w:rsid w:val="00812E3E"/>
    <w:rsid w:val="0081789E"/>
    <w:rsid w:val="0082007C"/>
    <w:rsid w:val="00832695"/>
    <w:rsid w:val="00837C2A"/>
    <w:rsid w:val="008479A9"/>
    <w:rsid w:val="00850D8E"/>
    <w:rsid w:val="00855E39"/>
    <w:rsid w:val="0086358F"/>
    <w:rsid w:val="00866F4E"/>
    <w:rsid w:val="00867A60"/>
    <w:rsid w:val="008717C1"/>
    <w:rsid w:val="0088610B"/>
    <w:rsid w:val="00895AAD"/>
    <w:rsid w:val="008C1358"/>
    <w:rsid w:val="008D4026"/>
    <w:rsid w:val="008E15A9"/>
    <w:rsid w:val="008E1956"/>
    <w:rsid w:val="008E221D"/>
    <w:rsid w:val="008E3327"/>
    <w:rsid w:val="008E3628"/>
    <w:rsid w:val="00903A0D"/>
    <w:rsid w:val="009111A3"/>
    <w:rsid w:val="009163A1"/>
    <w:rsid w:val="0094358B"/>
    <w:rsid w:val="00943DC7"/>
    <w:rsid w:val="00947552"/>
    <w:rsid w:val="0096105C"/>
    <w:rsid w:val="009664C4"/>
    <w:rsid w:val="0097405C"/>
    <w:rsid w:val="00975559"/>
    <w:rsid w:val="00976857"/>
    <w:rsid w:val="00981870"/>
    <w:rsid w:val="009855D4"/>
    <w:rsid w:val="00991AAF"/>
    <w:rsid w:val="009A1FEE"/>
    <w:rsid w:val="009A58A8"/>
    <w:rsid w:val="009B101E"/>
    <w:rsid w:val="009B2FF3"/>
    <w:rsid w:val="009B4459"/>
    <w:rsid w:val="009D0AC1"/>
    <w:rsid w:val="009D4B2A"/>
    <w:rsid w:val="009E065E"/>
    <w:rsid w:val="00A049BA"/>
    <w:rsid w:val="00A128BD"/>
    <w:rsid w:val="00A270B1"/>
    <w:rsid w:val="00A40452"/>
    <w:rsid w:val="00A40A8B"/>
    <w:rsid w:val="00A509A3"/>
    <w:rsid w:val="00A51469"/>
    <w:rsid w:val="00A627D5"/>
    <w:rsid w:val="00A668C0"/>
    <w:rsid w:val="00A70341"/>
    <w:rsid w:val="00A74B16"/>
    <w:rsid w:val="00AA07FD"/>
    <w:rsid w:val="00AE726C"/>
    <w:rsid w:val="00AF4B66"/>
    <w:rsid w:val="00B23B76"/>
    <w:rsid w:val="00B2604A"/>
    <w:rsid w:val="00B30F7A"/>
    <w:rsid w:val="00B33678"/>
    <w:rsid w:val="00B418DE"/>
    <w:rsid w:val="00B5042C"/>
    <w:rsid w:val="00B53CCD"/>
    <w:rsid w:val="00B56958"/>
    <w:rsid w:val="00B76BCE"/>
    <w:rsid w:val="00B96E5B"/>
    <w:rsid w:val="00BB75F7"/>
    <w:rsid w:val="00BC2C15"/>
    <w:rsid w:val="00BC39E3"/>
    <w:rsid w:val="00BC4AD6"/>
    <w:rsid w:val="00BD222F"/>
    <w:rsid w:val="00BD7271"/>
    <w:rsid w:val="00BE4AC3"/>
    <w:rsid w:val="00BF0AD0"/>
    <w:rsid w:val="00BF407D"/>
    <w:rsid w:val="00BF72CD"/>
    <w:rsid w:val="00BF74E3"/>
    <w:rsid w:val="00C031A8"/>
    <w:rsid w:val="00C06544"/>
    <w:rsid w:val="00C1113D"/>
    <w:rsid w:val="00C1122E"/>
    <w:rsid w:val="00C152D4"/>
    <w:rsid w:val="00C174BC"/>
    <w:rsid w:val="00C2413A"/>
    <w:rsid w:val="00C351A8"/>
    <w:rsid w:val="00C370ED"/>
    <w:rsid w:val="00C3783A"/>
    <w:rsid w:val="00C505B9"/>
    <w:rsid w:val="00C740F5"/>
    <w:rsid w:val="00C7506D"/>
    <w:rsid w:val="00C75547"/>
    <w:rsid w:val="00C82E76"/>
    <w:rsid w:val="00C9696B"/>
    <w:rsid w:val="00CA7882"/>
    <w:rsid w:val="00CB4096"/>
    <w:rsid w:val="00CB4639"/>
    <w:rsid w:val="00CC38B7"/>
    <w:rsid w:val="00CD578C"/>
    <w:rsid w:val="00CD6630"/>
    <w:rsid w:val="00CD7BC4"/>
    <w:rsid w:val="00D03C81"/>
    <w:rsid w:val="00D166FA"/>
    <w:rsid w:val="00D22060"/>
    <w:rsid w:val="00D240BF"/>
    <w:rsid w:val="00D329E6"/>
    <w:rsid w:val="00D40FA8"/>
    <w:rsid w:val="00D44183"/>
    <w:rsid w:val="00D44A90"/>
    <w:rsid w:val="00D5148E"/>
    <w:rsid w:val="00D523CF"/>
    <w:rsid w:val="00D55BBF"/>
    <w:rsid w:val="00D564A2"/>
    <w:rsid w:val="00D70DE6"/>
    <w:rsid w:val="00D72A0A"/>
    <w:rsid w:val="00D80EA0"/>
    <w:rsid w:val="00D9109C"/>
    <w:rsid w:val="00D9633A"/>
    <w:rsid w:val="00DA29F9"/>
    <w:rsid w:val="00DA6F82"/>
    <w:rsid w:val="00DC7BB1"/>
    <w:rsid w:val="00DC7D2C"/>
    <w:rsid w:val="00DE2E27"/>
    <w:rsid w:val="00DE3D00"/>
    <w:rsid w:val="00DE6491"/>
    <w:rsid w:val="00E039EC"/>
    <w:rsid w:val="00E27A5A"/>
    <w:rsid w:val="00E40778"/>
    <w:rsid w:val="00E467E0"/>
    <w:rsid w:val="00E50EEB"/>
    <w:rsid w:val="00E63FCF"/>
    <w:rsid w:val="00E75ED1"/>
    <w:rsid w:val="00E86AB3"/>
    <w:rsid w:val="00E95E4F"/>
    <w:rsid w:val="00EA7668"/>
    <w:rsid w:val="00EB19E6"/>
    <w:rsid w:val="00EB4D84"/>
    <w:rsid w:val="00EC1F58"/>
    <w:rsid w:val="00ED2405"/>
    <w:rsid w:val="00ED6168"/>
    <w:rsid w:val="00EE198B"/>
    <w:rsid w:val="00EE5E90"/>
    <w:rsid w:val="00EF490C"/>
    <w:rsid w:val="00EF6830"/>
    <w:rsid w:val="00F00833"/>
    <w:rsid w:val="00F21CCD"/>
    <w:rsid w:val="00F81349"/>
    <w:rsid w:val="00F82451"/>
    <w:rsid w:val="00F8606B"/>
    <w:rsid w:val="00F87CD6"/>
    <w:rsid w:val="00F95580"/>
    <w:rsid w:val="00FA0F43"/>
    <w:rsid w:val="00FA4E29"/>
    <w:rsid w:val="00FC09C3"/>
    <w:rsid w:val="00FD3665"/>
    <w:rsid w:val="00FD4338"/>
    <w:rsid w:val="00FD4FE1"/>
    <w:rsid w:val="00FD60B3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bgd/free/B17_00/Main.htm" TargetMode="External"/><Relationship Id="rId13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18" Type="http://schemas.openxmlformats.org/officeDocument/2006/relationships/hyperlink" Target="http://ec.europa.eu/eurostat/data/databas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infokart.ru/wp-content/uploads/2010/07/usamap.jpeg" TargetMode="External"/><Relationship Id="rId12" Type="http://schemas.openxmlformats.org/officeDocument/2006/relationships/hyperlink" Target="http://government.ru/programs/213/events/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UDStat.aspx?TblID=302-01&amp;pid=sors&amp;sid=ITM_2791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33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" TargetMode="External"/><Relationship Id="rId10" Type="http://schemas.openxmlformats.org/officeDocument/2006/relationships/hyperlink" Target="http://government.ru/programs/" TargetMode="External"/><Relationship Id="rId19" Type="http://schemas.openxmlformats.org/officeDocument/2006/relationships/hyperlink" Target="mailto:statrielt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" TargetMode="External"/><Relationship Id="rId14" Type="http://schemas.openxmlformats.org/officeDocument/2006/relationships/hyperlink" Target="http://www.gks.ru/bgd/regl/b11_04/isswww.exe/stg/d10/01-0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B705-8A57-4ECE-A800-170F9DC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8699</TotalTime>
  <Pages>5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Netbook</cp:lastModifiedBy>
  <cp:revision>27</cp:revision>
  <dcterms:created xsi:type="dcterms:W3CDTF">2017-07-02T10:46:00Z</dcterms:created>
  <dcterms:modified xsi:type="dcterms:W3CDTF">2017-07-10T19:20:00Z</dcterms:modified>
</cp:coreProperties>
</file>