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14" w:rsidRPr="006218A3" w:rsidRDefault="00DD5314" w:rsidP="00D65C12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6218A3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4B7C90" w:rsidRPr="006218A3" w:rsidRDefault="00D75419" w:rsidP="00D65C12">
      <w:pPr>
        <w:pStyle w:val="a3"/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 xml:space="preserve">Цены и </w:t>
      </w:r>
      <w:r w:rsidR="00A6525C" w:rsidRPr="006218A3">
        <w:rPr>
          <w:rFonts w:ascii="Arial" w:hAnsi="Arial" w:cs="Arial"/>
        </w:rPr>
        <w:t>динамика</w:t>
      </w:r>
      <w:r w:rsidRPr="006218A3">
        <w:rPr>
          <w:rFonts w:ascii="Arial" w:hAnsi="Arial" w:cs="Arial"/>
        </w:rPr>
        <w:t xml:space="preserve"> рынка </w:t>
      </w:r>
      <w:r w:rsidR="00A6525C" w:rsidRPr="006218A3">
        <w:rPr>
          <w:rFonts w:ascii="Arial" w:hAnsi="Arial" w:cs="Arial"/>
        </w:rPr>
        <w:t>недвижимости формируются п</w:t>
      </w:r>
      <w:r w:rsidR="00F76A51" w:rsidRPr="006218A3">
        <w:rPr>
          <w:rFonts w:ascii="Arial" w:hAnsi="Arial" w:cs="Arial"/>
        </w:rPr>
        <w:t>оведение</w:t>
      </w:r>
      <w:r w:rsidR="00A6525C" w:rsidRPr="006218A3">
        <w:rPr>
          <w:rFonts w:ascii="Arial" w:hAnsi="Arial" w:cs="Arial"/>
        </w:rPr>
        <w:t>м</w:t>
      </w:r>
      <w:r w:rsidR="00F76A51" w:rsidRPr="006218A3">
        <w:rPr>
          <w:rFonts w:ascii="Arial" w:hAnsi="Arial" w:cs="Arial"/>
        </w:rPr>
        <w:t xml:space="preserve"> </w:t>
      </w:r>
      <w:r w:rsidR="00A6525C" w:rsidRPr="006218A3">
        <w:rPr>
          <w:rFonts w:ascii="Arial" w:hAnsi="Arial" w:cs="Arial"/>
        </w:rPr>
        <w:t xml:space="preserve">и активностью его </w:t>
      </w:r>
      <w:r w:rsidR="00F76A51" w:rsidRPr="006218A3">
        <w:rPr>
          <w:rFonts w:ascii="Arial" w:hAnsi="Arial" w:cs="Arial"/>
        </w:rPr>
        <w:t>участников</w:t>
      </w:r>
      <w:r w:rsidR="008C52D9" w:rsidRPr="006218A3">
        <w:rPr>
          <w:rFonts w:ascii="Arial" w:hAnsi="Arial" w:cs="Arial"/>
        </w:rPr>
        <w:t xml:space="preserve">: частных и корпоративных </w:t>
      </w:r>
      <w:r w:rsidR="00A6525C" w:rsidRPr="006218A3">
        <w:rPr>
          <w:rFonts w:ascii="Arial" w:hAnsi="Arial" w:cs="Arial"/>
        </w:rPr>
        <w:t>продавцов и покупателей</w:t>
      </w:r>
      <w:r w:rsidR="008C52D9" w:rsidRPr="006218A3">
        <w:rPr>
          <w:rFonts w:ascii="Arial" w:hAnsi="Arial" w:cs="Arial"/>
        </w:rPr>
        <w:t>;</w:t>
      </w:r>
      <w:r w:rsidR="00A6525C" w:rsidRPr="006218A3">
        <w:rPr>
          <w:rFonts w:ascii="Arial" w:hAnsi="Arial" w:cs="Arial"/>
        </w:rPr>
        <w:t xml:space="preserve"> </w:t>
      </w:r>
      <w:r w:rsidR="00067DB0" w:rsidRPr="006218A3">
        <w:rPr>
          <w:rFonts w:ascii="Arial" w:hAnsi="Arial" w:cs="Arial"/>
        </w:rPr>
        <w:t>специалистов рынка, занимающихся посредничеством и продвижением недвижимости (</w:t>
      </w:r>
      <w:r w:rsidR="00A6525C" w:rsidRPr="006218A3">
        <w:rPr>
          <w:rFonts w:ascii="Arial" w:hAnsi="Arial" w:cs="Arial"/>
        </w:rPr>
        <w:t>риелторов</w:t>
      </w:r>
      <w:r w:rsidR="00067DB0" w:rsidRPr="006218A3">
        <w:rPr>
          <w:rFonts w:ascii="Arial" w:hAnsi="Arial" w:cs="Arial"/>
        </w:rPr>
        <w:t xml:space="preserve"> и рекламщиков)</w:t>
      </w:r>
      <w:r w:rsidR="008C52D9" w:rsidRPr="006218A3">
        <w:rPr>
          <w:rFonts w:ascii="Arial" w:hAnsi="Arial" w:cs="Arial"/>
        </w:rPr>
        <w:t xml:space="preserve">; а также </w:t>
      </w:r>
      <w:r w:rsidR="00A6525C" w:rsidRPr="006218A3">
        <w:rPr>
          <w:rFonts w:ascii="Arial" w:hAnsi="Arial" w:cs="Arial"/>
        </w:rPr>
        <w:t>инвесторов</w:t>
      </w:r>
      <w:r w:rsidR="00067DB0" w:rsidRPr="006218A3">
        <w:rPr>
          <w:rFonts w:ascii="Arial" w:hAnsi="Arial" w:cs="Arial"/>
        </w:rPr>
        <w:t xml:space="preserve">, вкладывающих свои либо заемные средства в строительство (или покупку) крупных объектов недвижимости (земельные участки, многоэтажные жилые здания, комплексы недвижимости) </w:t>
      </w:r>
      <w:r w:rsidR="008C52D9" w:rsidRPr="006218A3">
        <w:rPr>
          <w:rFonts w:ascii="Arial" w:hAnsi="Arial" w:cs="Arial"/>
        </w:rPr>
        <w:t>с целью продажи отдельных</w:t>
      </w:r>
      <w:r w:rsidR="00067DB0" w:rsidRPr="006218A3">
        <w:rPr>
          <w:rFonts w:ascii="Arial" w:hAnsi="Arial" w:cs="Arial"/>
        </w:rPr>
        <w:t xml:space="preserve"> помещени</w:t>
      </w:r>
      <w:r w:rsidR="008C52D9" w:rsidRPr="006218A3">
        <w:rPr>
          <w:rFonts w:ascii="Arial" w:hAnsi="Arial" w:cs="Arial"/>
        </w:rPr>
        <w:t>й</w:t>
      </w:r>
      <w:r w:rsidR="00067DB0" w:rsidRPr="006218A3">
        <w:rPr>
          <w:rFonts w:ascii="Arial" w:hAnsi="Arial" w:cs="Arial"/>
        </w:rPr>
        <w:t>, квартир, индивидуальны</w:t>
      </w:r>
      <w:r w:rsidR="008C52D9" w:rsidRPr="006218A3">
        <w:rPr>
          <w:rFonts w:ascii="Arial" w:hAnsi="Arial" w:cs="Arial"/>
        </w:rPr>
        <w:t>х</w:t>
      </w:r>
      <w:r w:rsidR="00067DB0" w:rsidRPr="006218A3">
        <w:rPr>
          <w:rFonts w:ascii="Arial" w:hAnsi="Arial" w:cs="Arial"/>
        </w:rPr>
        <w:t xml:space="preserve"> дом</w:t>
      </w:r>
      <w:r w:rsidR="008C52D9" w:rsidRPr="006218A3">
        <w:rPr>
          <w:rFonts w:ascii="Arial" w:hAnsi="Arial" w:cs="Arial"/>
        </w:rPr>
        <w:t xml:space="preserve">ов либо с целью организации арендного бизнеса. </w:t>
      </w:r>
      <w:r w:rsidR="001101F0" w:rsidRPr="006218A3">
        <w:rPr>
          <w:rFonts w:ascii="Arial" w:hAnsi="Arial" w:cs="Arial"/>
        </w:rPr>
        <w:t xml:space="preserve">Активными посредниками рынка являются банки, финансирующие крупные проекты и организующие ипотечное кредитование, а также страховые, юридические, кадастровые организации и специалисты. </w:t>
      </w:r>
      <w:r w:rsidR="00C73D41" w:rsidRPr="006218A3">
        <w:rPr>
          <w:rFonts w:ascii="Arial" w:hAnsi="Arial" w:cs="Arial"/>
        </w:rPr>
        <w:t xml:space="preserve">Главным куратором и организатором рынка является государство, роль которого в развитии цивилизованного рынка состоит в стимулировании роста с использованием различных механизмов экономического и политического характера (налоговые и финансовые рычаги, система регистрации и учёта, </w:t>
      </w:r>
      <w:r w:rsidR="004B7C90" w:rsidRPr="006218A3">
        <w:rPr>
          <w:rFonts w:ascii="Arial" w:hAnsi="Arial" w:cs="Arial"/>
        </w:rPr>
        <w:t xml:space="preserve">законодательные акты и административные решения). </w:t>
      </w:r>
    </w:p>
    <w:p w:rsidR="009E2A51" w:rsidRPr="006218A3" w:rsidRDefault="004B7C90" w:rsidP="00D65C12">
      <w:pPr>
        <w:pStyle w:val="a3"/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>Поведение участников рынка недвижимости и их представителей</w:t>
      </w:r>
      <w:r w:rsidR="00F76A51" w:rsidRPr="006218A3">
        <w:rPr>
          <w:rFonts w:ascii="Arial" w:hAnsi="Arial" w:cs="Arial"/>
        </w:rPr>
        <w:t xml:space="preserve"> зависит от </w:t>
      </w:r>
      <w:r w:rsidR="00F35027" w:rsidRPr="006218A3">
        <w:rPr>
          <w:rFonts w:ascii="Arial" w:hAnsi="Arial" w:cs="Arial"/>
        </w:rPr>
        <w:t>множества</w:t>
      </w:r>
      <w:r w:rsidRPr="006218A3">
        <w:rPr>
          <w:rFonts w:ascii="Arial" w:hAnsi="Arial" w:cs="Arial"/>
        </w:rPr>
        <w:t xml:space="preserve"> </w:t>
      </w:r>
      <w:r w:rsidR="00DE5E69" w:rsidRPr="006218A3">
        <w:rPr>
          <w:rFonts w:ascii="Arial" w:hAnsi="Arial" w:cs="Arial"/>
        </w:rPr>
        <w:t>факторов</w:t>
      </w:r>
      <w:r w:rsidR="004B32D7" w:rsidRPr="006218A3">
        <w:rPr>
          <w:rFonts w:ascii="Arial" w:hAnsi="Arial" w:cs="Arial"/>
        </w:rPr>
        <w:t xml:space="preserve"> </w:t>
      </w:r>
      <w:r w:rsidRPr="006218A3">
        <w:rPr>
          <w:rFonts w:ascii="Arial" w:hAnsi="Arial" w:cs="Arial"/>
        </w:rPr>
        <w:t>и</w:t>
      </w:r>
      <w:r w:rsidR="00F35027" w:rsidRPr="006218A3">
        <w:rPr>
          <w:rFonts w:ascii="Arial" w:hAnsi="Arial" w:cs="Arial"/>
        </w:rPr>
        <w:t>, прежде всего</w:t>
      </w:r>
      <w:r w:rsidR="00CF7DC5" w:rsidRPr="006218A3">
        <w:rPr>
          <w:rFonts w:ascii="Arial" w:hAnsi="Arial" w:cs="Arial"/>
        </w:rPr>
        <w:t>, от</w:t>
      </w:r>
      <w:r w:rsidR="00D75419" w:rsidRPr="006218A3">
        <w:rPr>
          <w:rFonts w:ascii="Arial" w:hAnsi="Arial" w:cs="Arial"/>
        </w:rPr>
        <w:t xml:space="preserve"> </w:t>
      </w:r>
      <w:r w:rsidR="00F76A51" w:rsidRPr="006218A3">
        <w:rPr>
          <w:rFonts w:ascii="Arial" w:hAnsi="Arial" w:cs="Arial"/>
        </w:rPr>
        <w:t>динамик</w:t>
      </w:r>
      <w:r w:rsidRPr="006218A3">
        <w:rPr>
          <w:rFonts w:ascii="Arial" w:hAnsi="Arial" w:cs="Arial"/>
        </w:rPr>
        <w:t>и</w:t>
      </w:r>
      <w:r w:rsidR="00F76A51" w:rsidRPr="006218A3">
        <w:rPr>
          <w:rFonts w:ascii="Arial" w:hAnsi="Arial" w:cs="Arial"/>
        </w:rPr>
        <w:t xml:space="preserve"> доходов населения, доходов бизнеса, динамик</w:t>
      </w:r>
      <w:r w:rsidRPr="006218A3">
        <w:rPr>
          <w:rFonts w:ascii="Arial" w:hAnsi="Arial" w:cs="Arial"/>
        </w:rPr>
        <w:t>и</w:t>
      </w:r>
      <w:r w:rsidR="00F76A51" w:rsidRPr="006218A3">
        <w:rPr>
          <w:rFonts w:ascii="Arial" w:hAnsi="Arial" w:cs="Arial"/>
        </w:rPr>
        <w:t xml:space="preserve"> </w:t>
      </w:r>
      <w:r w:rsidR="00CF7DC5" w:rsidRPr="006218A3">
        <w:rPr>
          <w:rFonts w:ascii="Arial" w:hAnsi="Arial" w:cs="Arial"/>
        </w:rPr>
        <w:t xml:space="preserve">частных и корпоративных </w:t>
      </w:r>
      <w:r w:rsidR="00F76A51" w:rsidRPr="006218A3">
        <w:rPr>
          <w:rFonts w:ascii="Arial" w:hAnsi="Arial" w:cs="Arial"/>
        </w:rPr>
        <w:t>инвестиций</w:t>
      </w:r>
      <w:r w:rsidR="00CF7DC5" w:rsidRPr="006218A3">
        <w:rPr>
          <w:rFonts w:ascii="Arial" w:hAnsi="Arial" w:cs="Arial"/>
        </w:rPr>
        <w:t xml:space="preserve">, </w:t>
      </w:r>
      <w:r w:rsidR="00074567" w:rsidRPr="006218A3">
        <w:rPr>
          <w:rFonts w:ascii="Arial" w:hAnsi="Arial" w:cs="Arial"/>
        </w:rPr>
        <w:t xml:space="preserve">объемов </w:t>
      </w:r>
      <w:r w:rsidR="00F76A51" w:rsidRPr="006218A3">
        <w:rPr>
          <w:rFonts w:ascii="Arial" w:hAnsi="Arial" w:cs="Arial"/>
        </w:rPr>
        <w:t>капитальны</w:t>
      </w:r>
      <w:r w:rsidR="00074567" w:rsidRPr="006218A3">
        <w:rPr>
          <w:rFonts w:ascii="Arial" w:hAnsi="Arial" w:cs="Arial"/>
        </w:rPr>
        <w:t>х</w:t>
      </w:r>
      <w:r w:rsidR="00F76A51" w:rsidRPr="006218A3">
        <w:rPr>
          <w:rFonts w:ascii="Arial" w:hAnsi="Arial" w:cs="Arial"/>
        </w:rPr>
        <w:t xml:space="preserve"> вложени</w:t>
      </w:r>
      <w:r w:rsidR="00074567" w:rsidRPr="006218A3">
        <w:rPr>
          <w:rFonts w:ascii="Arial" w:hAnsi="Arial" w:cs="Arial"/>
        </w:rPr>
        <w:t>й</w:t>
      </w:r>
      <w:r w:rsidR="00F76A51" w:rsidRPr="006218A3">
        <w:rPr>
          <w:rFonts w:ascii="Arial" w:hAnsi="Arial" w:cs="Arial"/>
        </w:rPr>
        <w:t xml:space="preserve"> в обновление и развитие основных фондов</w:t>
      </w:r>
      <w:r w:rsidR="00F35027" w:rsidRPr="006218A3">
        <w:rPr>
          <w:rFonts w:ascii="Arial" w:hAnsi="Arial" w:cs="Arial"/>
        </w:rPr>
        <w:t xml:space="preserve"> предприятий</w:t>
      </w:r>
      <w:r w:rsidR="00D75419" w:rsidRPr="006218A3">
        <w:rPr>
          <w:rFonts w:ascii="Arial" w:hAnsi="Arial" w:cs="Arial"/>
        </w:rPr>
        <w:t xml:space="preserve"> и городского хозяйства</w:t>
      </w:r>
      <w:r w:rsidR="00CF7DC5" w:rsidRPr="006218A3">
        <w:rPr>
          <w:rFonts w:ascii="Arial" w:hAnsi="Arial" w:cs="Arial"/>
        </w:rPr>
        <w:t xml:space="preserve">. </w:t>
      </w:r>
      <w:r w:rsidR="00074567" w:rsidRPr="006218A3">
        <w:rPr>
          <w:rFonts w:ascii="Arial" w:hAnsi="Arial" w:cs="Arial"/>
        </w:rPr>
        <w:t>Р</w:t>
      </w:r>
      <w:r w:rsidR="00F97098" w:rsidRPr="006218A3">
        <w:rPr>
          <w:rFonts w:ascii="Arial" w:hAnsi="Arial" w:cs="Arial"/>
        </w:rPr>
        <w:t>ост доходов и инвестиций является отражением эффективности всей национальной экономики. Поэтому основные макроэкономические показатели</w:t>
      </w:r>
      <w:r w:rsidR="00074567" w:rsidRPr="006218A3">
        <w:rPr>
          <w:rFonts w:ascii="Arial" w:hAnsi="Arial" w:cs="Arial"/>
        </w:rPr>
        <w:t>, такие, как: рост</w:t>
      </w:r>
      <w:r w:rsidR="00F97098" w:rsidRPr="006218A3">
        <w:rPr>
          <w:rFonts w:ascii="Arial" w:hAnsi="Arial" w:cs="Arial"/>
        </w:rPr>
        <w:t xml:space="preserve"> В</w:t>
      </w:r>
      <w:proofErr w:type="gramStart"/>
      <w:r w:rsidR="00F97098" w:rsidRPr="006218A3">
        <w:rPr>
          <w:rFonts w:ascii="Arial" w:hAnsi="Arial" w:cs="Arial"/>
        </w:rPr>
        <w:t>ВП</w:t>
      </w:r>
      <w:r w:rsidR="000945C9">
        <w:rPr>
          <w:rFonts w:ascii="Arial" w:hAnsi="Arial" w:cs="Arial"/>
        </w:rPr>
        <w:t xml:space="preserve"> стр</w:t>
      </w:r>
      <w:proofErr w:type="gramEnd"/>
      <w:r w:rsidR="000945C9">
        <w:rPr>
          <w:rFonts w:ascii="Arial" w:hAnsi="Arial" w:cs="Arial"/>
        </w:rPr>
        <w:t>аны и региона</w:t>
      </w:r>
      <w:r w:rsidR="00F97098" w:rsidRPr="006218A3">
        <w:rPr>
          <w:rFonts w:ascii="Arial" w:hAnsi="Arial" w:cs="Arial"/>
        </w:rPr>
        <w:t xml:space="preserve">, развитие </w:t>
      </w:r>
      <w:r w:rsidR="00074567" w:rsidRPr="006218A3">
        <w:rPr>
          <w:rFonts w:ascii="Arial" w:hAnsi="Arial" w:cs="Arial"/>
        </w:rPr>
        <w:t xml:space="preserve">перспективных технологичных </w:t>
      </w:r>
      <w:r w:rsidR="00F97098" w:rsidRPr="006218A3">
        <w:rPr>
          <w:rFonts w:ascii="Arial" w:hAnsi="Arial" w:cs="Arial"/>
        </w:rPr>
        <w:t>отраслей</w:t>
      </w:r>
      <w:r w:rsidR="00074567" w:rsidRPr="006218A3">
        <w:rPr>
          <w:rFonts w:ascii="Arial" w:hAnsi="Arial" w:cs="Arial"/>
        </w:rPr>
        <w:t xml:space="preserve"> экономики</w:t>
      </w:r>
      <w:r w:rsidR="00F97098" w:rsidRPr="006218A3">
        <w:rPr>
          <w:rFonts w:ascii="Arial" w:hAnsi="Arial" w:cs="Arial"/>
        </w:rPr>
        <w:t xml:space="preserve">, </w:t>
      </w:r>
      <w:r w:rsidR="00074567" w:rsidRPr="006218A3">
        <w:rPr>
          <w:rFonts w:ascii="Arial" w:hAnsi="Arial" w:cs="Arial"/>
        </w:rPr>
        <w:t xml:space="preserve">динамика показателей финансовой системы, </w:t>
      </w:r>
      <w:r w:rsidR="000945C9">
        <w:rPr>
          <w:rFonts w:ascii="Arial" w:hAnsi="Arial" w:cs="Arial"/>
        </w:rPr>
        <w:t>уровень развития</w:t>
      </w:r>
      <w:r w:rsidR="0051469A" w:rsidRPr="006218A3">
        <w:rPr>
          <w:rFonts w:ascii="Arial" w:hAnsi="Arial" w:cs="Arial"/>
        </w:rPr>
        <w:t xml:space="preserve"> ресурсной базы</w:t>
      </w:r>
      <w:r w:rsidR="00F97098" w:rsidRPr="006218A3">
        <w:rPr>
          <w:rFonts w:ascii="Arial" w:hAnsi="Arial" w:cs="Arial"/>
        </w:rPr>
        <w:t xml:space="preserve"> оказывают прямое влияние </w:t>
      </w:r>
      <w:r w:rsidR="0051469A" w:rsidRPr="006218A3">
        <w:rPr>
          <w:rFonts w:ascii="Arial" w:hAnsi="Arial" w:cs="Arial"/>
        </w:rPr>
        <w:t xml:space="preserve">и на </w:t>
      </w:r>
      <w:r w:rsidR="00074567" w:rsidRPr="006218A3">
        <w:rPr>
          <w:rFonts w:ascii="Arial" w:hAnsi="Arial" w:cs="Arial"/>
        </w:rPr>
        <w:t>развитие рынка недвижимости.</w:t>
      </w:r>
      <w:r w:rsidR="00702B1A">
        <w:rPr>
          <w:rFonts w:ascii="Arial" w:hAnsi="Arial" w:cs="Arial"/>
        </w:rPr>
        <w:t xml:space="preserve"> Конечной целью анализа является определение </w:t>
      </w:r>
      <w:r w:rsidR="000945C9">
        <w:rPr>
          <w:rFonts w:ascii="Arial" w:hAnsi="Arial" w:cs="Arial"/>
        </w:rPr>
        <w:t>состояния</w:t>
      </w:r>
      <w:r w:rsidR="00702B1A">
        <w:rPr>
          <w:rFonts w:ascii="Arial" w:hAnsi="Arial" w:cs="Arial"/>
        </w:rPr>
        <w:t>, в котором н</w:t>
      </w:r>
      <w:r w:rsidR="000945C9">
        <w:rPr>
          <w:rFonts w:ascii="Arial" w:hAnsi="Arial" w:cs="Arial"/>
        </w:rPr>
        <w:t>аходится в данный</w:t>
      </w:r>
      <w:r w:rsidR="00702B1A">
        <w:rPr>
          <w:rFonts w:ascii="Arial" w:hAnsi="Arial" w:cs="Arial"/>
        </w:rPr>
        <w:t xml:space="preserve"> момент времени рынок недвижимости: в состоянии рецессии, стагнации, роста или падения, а также выявление степени активности</w:t>
      </w:r>
      <w:r w:rsidR="000945C9">
        <w:rPr>
          <w:rFonts w:ascii="Arial" w:hAnsi="Arial" w:cs="Arial"/>
        </w:rPr>
        <w:t xml:space="preserve"> (динамика объёма сделок)</w:t>
      </w:r>
      <w:r w:rsidR="00702B1A">
        <w:rPr>
          <w:rFonts w:ascii="Arial" w:hAnsi="Arial" w:cs="Arial"/>
        </w:rPr>
        <w:t xml:space="preserve">, ожиданий </w:t>
      </w:r>
      <w:r w:rsidR="000945C9">
        <w:rPr>
          <w:rFonts w:ascii="Arial" w:hAnsi="Arial" w:cs="Arial"/>
        </w:rPr>
        <w:t>и вероятного сценария поведения</w:t>
      </w:r>
      <w:r w:rsidR="000945C9" w:rsidRPr="000945C9">
        <w:rPr>
          <w:rFonts w:ascii="Arial" w:hAnsi="Arial" w:cs="Arial"/>
        </w:rPr>
        <w:t xml:space="preserve"> </w:t>
      </w:r>
      <w:r w:rsidR="000945C9">
        <w:rPr>
          <w:rFonts w:ascii="Arial" w:hAnsi="Arial" w:cs="Arial"/>
        </w:rPr>
        <w:t>участников рынка, ближайшей и более отдалённой перспективы основных показателей рынка.</w:t>
      </w:r>
    </w:p>
    <w:p w:rsidR="00D03CBF" w:rsidRPr="006218A3" w:rsidRDefault="0051469A" w:rsidP="00D65C12">
      <w:pPr>
        <w:pStyle w:val="a3"/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 xml:space="preserve">Анализируя состояние и перспективы экономики </w:t>
      </w:r>
      <w:r w:rsidR="00D03CBF" w:rsidRPr="006218A3">
        <w:rPr>
          <w:rFonts w:ascii="Arial" w:hAnsi="Arial" w:cs="Arial"/>
        </w:rPr>
        <w:t>России</w:t>
      </w:r>
      <w:r w:rsidRPr="006218A3">
        <w:rPr>
          <w:rFonts w:ascii="Arial" w:hAnsi="Arial" w:cs="Arial"/>
        </w:rPr>
        <w:t xml:space="preserve"> и </w:t>
      </w:r>
      <w:r w:rsidR="00D03CBF" w:rsidRPr="006218A3">
        <w:rPr>
          <w:rFonts w:ascii="Arial" w:hAnsi="Arial" w:cs="Arial"/>
        </w:rPr>
        <w:t xml:space="preserve">каждого </w:t>
      </w:r>
      <w:r w:rsidRPr="006218A3">
        <w:rPr>
          <w:rFonts w:ascii="Arial" w:hAnsi="Arial" w:cs="Arial"/>
        </w:rPr>
        <w:t xml:space="preserve">отдельного региона, невозможно не видеть </w:t>
      </w:r>
      <w:r w:rsidR="009D0C98" w:rsidRPr="006218A3">
        <w:rPr>
          <w:rFonts w:ascii="Arial" w:hAnsi="Arial" w:cs="Arial"/>
        </w:rPr>
        <w:t>позитивное</w:t>
      </w:r>
      <w:r w:rsidRPr="006218A3">
        <w:rPr>
          <w:rFonts w:ascii="Arial" w:hAnsi="Arial" w:cs="Arial"/>
        </w:rPr>
        <w:t xml:space="preserve"> влияние на их развитие </w:t>
      </w:r>
      <w:r w:rsidR="007764FD" w:rsidRPr="006218A3">
        <w:rPr>
          <w:rFonts w:ascii="Arial" w:hAnsi="Arial" w:cs="Arial"/>
        </w:rPr>
        <w:t>сложившихся</w:t>
      </w:r>
      <w:r w:rsidRPr="006218A3">
        <w:rPr>
          <w:rFonts w:ascii="Arial" w:hAnsi="Arial" w:cs="Arial"/>
        </w:rPr>
        <w:t xml:space="preserve"> общественно-политических </w:t>
      </w:r>
      <w:r w:rsidR="00A53749" w:rsidRPr="006218A3">
        <w:rPr>
          <w:rFonts w:ascii="Arial" w:hAnsi="Arial" w:cs="Arial"/>
        </w:rPr>
        <w:t xml:space="preserve">отношений и </w:t>
      </w:r>
      <w:r w:rsidRPr="006218A3">
        <w:rPr>
          <w:rFonts w:ascii="Arial" w:hAnsi="Arial" w:cs="Arial"/>
        </w:rPr>
        <w:t>условий, а также внешних и внутренних</w:t>
      </w:r>
      <w:r w:rsidR="00F35027" w:rsidRPr="006218A3">
        <w:rPr>
          <w:rFonts w:ascii="Arial" w:hAnsi="Arial" w:cs="Arial"/>
        </w:rPr>
        <w:t xml:space="preserve"> </w:t>
      </w:r>
      <w:r w:rsidR="00F76A51" w:rsidRPr="006218A3">
        <w:rPr>
          <w:rFonts w:ascii="Arial" w:hAnsi="Arial" w:cs="Arial"/>
        </w:rPr>
        <w:t>политических</w:t>
      </w:r>
      <w:r w:rsidR="00F35027" w:rsidRPr="006218A3">
        <w:rPr>
          <w:rFonts w:ascii="Arial" w:hAnsi="Arial" w:cs="Arial"/>
        </w:rPr>
        <w:t xml:space="preserve"> событий</w:t>
      </w:r>
      <w:r w:rsidR="00D03CBF" w:rsidRPr="006218A3">
        <w:rPr>
          <w:rFonts w:ascii="Arial" w:hAnsi="Arial" w:cs="Arial"/>
        </w:rPr>
        <w:t>:</w:t>
      </w:r>
    </w:p>
    <w:p w:rsidR="009D0C98" w:rsidRPr="006218A3" w:rsidRDefault="00A53749" w:rsidP="00D65C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 xml:space="preserve">Основой </w:t>
      </w:r>
      <w:r w:rsidR="00D03CBF" w:rsidRPr="006218A3">
        <w:rPr>
          <w:rFonts w:ascii="Arial" w:hAnsi="Arial" w:cs="Arial"/>
        </w:rPr>
        <w:t>экономических</w:t>
      </w:r>
      <w:r w:rsidRPr="006218A3">
        <w:rPr>
          <w:rFonts w:ascii="Arial" w:hAnsi="Arial" w:cs="Arial"/>
        </w:rPr>
        <w:t xml:space="preserve"> отношений является право </w:t>
      </w:r>
      <w:r w:rsidR="00D03CBF" w:rsidRPr="006218A3">
        <w:rPr>
          <w:rFonts w:ascii="Arial" w:hAnsi="Arial" w:cs="Arial"/>
        </w:rPr>
        <w:t xml:space="preserve">частной </w:t>
      </w:r>
      <w:r w:rsidRPr="006218A3">
        <w:rPr>
          <w:rFonts w:ascii="Arial" w:hAnsi="Arial" w:cs="Arial"/>
        </w:rPr>
        <w:t xml:space="preserve">собственности и </w:t>
      </w:r>
      <w:r w:rsidR="00D03CBF" w:rsidRPr="006218A3">
        <w:rPr>
          <w:rFonts w:ascii="Arial" w:hAnsi="Arial" w:cs="Arial"/>
        </w:rPr>
        <w:t xml:space="preserve">его безусловная </w:t>
      </w:r>
      <w:r w:rsidRPr="006218A3">
        <w:rPr>
          <w:rFonts w:ascii="Arial" w:hAnsi="Arial" w:cs="Arial"/>
        </w:rPr>
        <w:t xml:space="preserve">защита </w:t>
      </w:r>
      <w:r w:rsidR="00D03CBF" w:rsidRPr="006218A3">
        <w:rPr>
          <w:rFonts w:ascii="Arial" w:hAnsi="Arial" w:cs="Arial"/>
        </w:rPr>
        <w:t>Российск</w:t>
      </w:r>
      <w:r w:rsidR="009D0C98" w:rsidRPr="006218A3">
        <w:rPr>
          <w:rFonts w:ascii="Arial" w:hAnsi="Arial" w:cs="Arial"/>
        </w:rPr>
        <w:t>им</w:t>
      </w:r>
      <w:r w:rsidR="00D03CBF" w:rsidRPr="006218A3">
        <w:rPr>
          <w:rFonts w:ascii="Arial" w:hAnsi="Arial" w:cs="Arial"/>
        </w:rPr>
        <w:t xml:space="preserve"> государств</w:t>
      </w:r>
      <w:r w:rsidR="009D0C98" w:rsidRPr="006218A3">
        <w:rPr>
          <w:rFonts w:ascii="Arial" w:hAnsi="Arial" w:cs="Arial"/>
        </w:rPr>
        <w:t>ом</w:t>
      </w:r>
      <w:r w:rsidR="003B4435" w:rsidRPr="006218A3">
        <w:rPr>
          <w:rFonts w:ascii="Arial" w:hAnsi="Arial" w:cs="Arial"/>
        </w:rPr>
        <w:t>. Как показала история, частная собственность</w:t>
      </w:r>
      <w:r w:rsidR="0076365A" w:rsidRPr="006218A3">
        <w:rPr>
          <w:rFonts w:ascii="Arial" w:hAnsi="Arial" w:cs="Arial"/>
        </w:rPr>
        <w:t xml:space="preserve"> и стремление к прибыли</w:t>
      </w:r>
      <w:r w:rsidR="003B4435" w:rsidRPr="006218A3">
        <w:rPr>
          <w:rFonts w:ascii="Arial" w:hAnsi="Arial" w:cs="Arial"/>
        </w:rPr>
        <w:t xml:space="preserve"> </w:t>
      </w:r>
      <w:r w:rsidR="0015297B">
        <w:rPr>
          <w:rFonts w:ascii="Arial" w:hAnsi="Arial" w:cs="Arial"/>
        </w:rPr>
        <w:t xml:space="preserve">экономически </w:t>
      </w:r>
      <w:r w:rsidR="003B4435" w:rsidRPr="006218A3">
        <w:rPr>
          <w:rFonts w:ascii="Arial" w:hAnsi="Arial" w:cs="Arial"/>
        </w:rPr>
        <w:t>мотивиру</w:t>
      </w:r>
      <w:r w:rsidR="0076365A" w:rsidRPr="006218A3">
        <w:rPr>
          <w:rFonts w:ascii="Arial" w:hAnsi="Arial" w:cs="Arial"/>
        </w:rPr>
        <w:t>ю</w:t>
      </w:r>
      <w:r w:rsidR="0015297B">
        <w:rPr>
          <w:rFonts w:ascii="Arial" w:hAnsi="Arial" w:cs="Arial"/>
        </w:rPr>
        <w:t xml:space="preserve">т </w:t>
      </w:r>
      <w:r w:rsidR="00790A55">
        <w:rPr>
          <w:rFonts w:ascii="Arial" w:hAnsi="Arial" w:cs="Arial"/>
        </w:rPr>
        <w:t xml:space="preserve">человека </w:t>
      </w:r>
      <w:r w:rsidR="0034490A">
        <w:rPr>
          <w:rFonts w:ascii="Arial" w:hAnsi="Arial" w:cs="Arial"/>
        </w:rPr>
        <w:t xml:space="preserve">к </w:t>
      </w:r>
      <w:r w:rsidR="003B4435" w:rsidRPr="006218A3">
        <w:rPr>
          <w:rFonts w:ascii="Arial" w:hAnsi="Arial" w:cs="Arial"/>
        </w:rPr>
        <w:t>более высок</w:t>
      </w:r>
      <w:r w:rsidR="0034490A">
        <w:rPr>
          <w:rFonts w:ascii="Arial" w:hAnsi="Arial" w:cs="Arial"/>
        </w:rPr>
        <w:t xml:space="preserve">ой </w:t>
      </w:r>
      <w:r w:rsidR="003B4435" w:rsidRPr="006218A3">
        <w:rPr>
          <w:rFonts w:ascii="Arial" w:hAnsi="Arial" w:cs="Arial"/>
        </w:rPr>
        <w:t>про</w:t>
      </w:r>
      <w:r w:rsidR="0015297B">
        <w:rPr>
          <w:rFonts w:ascii="Arial" w:hAnsi="Arial" w:cs="Arial"/>
        </w:rPr>
        <w:t>изводительност</w:t>
      </w:r>
      <w:r w:rsidR="0034490A">
        <w:rPr>
          <w:rFonts w:ascii="Arial" w:hAnsi="Arial" w:cs="Arial"/>
        </w:rPr>
        <w:t>и</w:t>
      </w:r>
      <w:r w:rsidR="0015297B">
        <w:rPr>
          <w:rFonts w:ascii="Arial" w:hAnsi="Arial" w:cs="Arial"/>
        </w:rPr>
        <w:t xml:space="preserve"> труда, </w:t>
      </w:r>
      <w:r w:rsidR="0034490A">
        <w:rPr>
          <w:rFonts w:ascii="Arial" w:hAnsi="Arial" w:cs="Arial"/>
        </w:rPr>
        <w:t>к большему разнообразию продукции</w:t>
      </w:r>
      <w:r w:rsidR="00790A55">
        <w:rPr>
          <w:rFonts w:ascii="Arial" w:hAnsi="Arial" w:cs="Arial"/>
        </w:rPr>
        <w:t xml:space="preserve"> и</w:t>
      </w:r>
      <w:r w:rsidR="0034490A">
        <w:rPr>
          <w:rFonts w:ascii="Arial" w:hAnsi="Arial" w:cs="Arial"/>
        </w:rPr>
        <w:t xml:space="preserve"> </w:t>
      </w:r>
      <w:r w:rsidR="00790A55">
        <w:rPr>
          <w:rFonts w:ascii="Arial" w:hAnsi="Arial" w:cs="Arial"/>
        </w:rPr>
        <w:t xml:space="preserve">новым </w:t>
      </w:r>
      <w:r w:rsidR="003B4435" w:rsidRPr="006218A3">
        <w:rPr>
          <w:rFonts w:ascii="Arial" w:hAnsi="Arial" w:cs="Arial"/>
        </w:rPr>
        <w:t>технологи</w:t>
      </w:r>
      <w:r w:rsidR="0034490A">
        <w:rPr>
          <w:rFonts w:ascii="Arial" w:hAnsi="Arial" w:cs="Arial"/>
        </w:rPr>
        <w:t>ям</w:t>
      </w:r>
      <w:r w:rsidR="00E97D5D" w:rsidRPr="006218A3">
        <w:rPr>
          <w:rFonts w:ascii="Arial" w:hAnsi="Arial" w:cs="Arial"/>
        </w:rPr>
        <w:t>;</w:t>
      </w:r>
    </w:p>
    <w:p w:rsidR="00E97D5D" w:rsidRPr="006218A3" w:rsidRDefault="00790A55" w:rsidP="00D65C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Прочность и с</w:t>
      </w:r>
      <w:r w:rsidR="00E97D5D" w:rsidRPr="006218A3">
        <w:rPr>
          <w:rFonts w:ascii="Arial" w:hAnsi="Arial" w:cs="Arial"/>
        </w:rPr>
        <w:t xml:space="preserve">табильность </w:t>
      </w:r>
      <w:r w:rsidR="007764FD" w:rsidRPr="006218A3">
        <w:rPr>
          <w:rFonts w:ascii="Arial" w:hAnsi="Arial" w:cs="Arial"/>
        </w:rPr>
        <w:t xml:space="preserve">Российского </w:t>
      </w:r>
      <w:r w:rsidR="00E97D5D" w:rsidRPr="006218A3">
        <w:rPr>
          <w:rFonts w:ascii="Arial" w:hAnsi="Arial" w:cs="Arial"/>
        </w:rPr>
        <w:t>государства и законодательства, безоговорочное соблюдение международных норм;</w:t>
      </w:r>
    </w:p>
    <w:p w:rsidR="009D0C98" w:rsidRPr="006218A3" w:rsidRDefault="00E97D5D" w:rsidP="00D65C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>Приоритетная з</w:t>
      </w:r>
      <w:r w:rsidR="009D0C98" w:rsidRPr="006218A3">
        <w:rPr>
          <w:rFonts w:ascii="Arial" w:hAnsi="Arial" w:cs="Arial"/>
        </w:rPr>
        <w:t xml:space="preserve">ащита со стороны государства национального бизнеса и продвижение </w:t>
      </w:r>
      <w:r w:rsidRPr="006218A3">
        <w:rPr>
          <w:rFonts w:ascii="Arial" w:hAnsi="Arial" w:cs="Arial"/>
        </w:rPr>
        <w:t xml:space="preserve">его в международных экономических отношениях. </w:t>
      </w:r>
      <w:r w:rsidR="0076365A" w:rsidRPr="006218A3">
        <w:rPr>
          <w:rFonts w:ascii="Arial" w:hAnsi="Arial" w:cs="Arial"/>
        </w:rPr>
        <w:t>Защита</w:t>
      </w:r>
      <w:r w:rsidRPr="006218A3">
        <w:rPr>
          <w:rFonts w:ascii="Arial" w:hAnsi="Arial" w:cs="Arial"/>
        </w:rPr>
        <w:t xml:space="preserve"> конкуренции;</w:t>
      </w:r>
    </w:p>
    <w:p w:rsidR="009D0C98" w:rsidRPr="006218A3" w:rsidRDefault="004058E6" w:rsidP="00D65C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>Вполне умеренная</w:t>
      </w:r>
      <w:r w:rsidR="009D0C98" w:rsidRPr="006218A3">
        <w:rPr>
          <w:rFonts w:ascii="Arial" w:hAnsi="Arial" w:cs="Arial"/>
        </w:rPr>
        <w:t xml:space="preserve"> налоговая</w:t>
      </w:r>
      <w:r w:rsidRPr="006218A3">
        <w:rPr>
          <w:rFonts w:ascii="Arial" w:hAnsi="Arial" w:cs="Arial"/>
        </w:rPr>
        <w:t xml:space="preserve"> нагрузка,</w:t>
      </w:r>
      <w:r w:rsidR="009D0C98" w:rsidRPr="006218A3">
        <w:rPr>
          <w:rFonts w:ascii="Arial" w:hAnsi="Arial" w:cs="Arial"/>
        </w:rPr>
        <w:t xml:space="preserve"> механизмы стимулирования перспективных отраслей</w:t>
      </w:r>
      <w:r w:rsidRPr="006218A3">
        <w:rPr>
          <w:rFonts w:ascii="Arial" w:hAnsi="Arial" w:cs="Arial"/>
        </w:rPr>
        <w:t xml:space="preserve"> и г</w:t>
      </w:r>
      <w:r w:rsidR="0076365A" w:rsidRPr="006218A3">
        <w:rPr>
          <w:rFonts w:ascii="Arial" w:hAnsi="Arial" w:cs="Arial"/>
        </w:rPr>
        <w:t>оспрограммы развития отраслевой структуры</w:t>
      </w:r>
      <w:r w:rsidR="009D0C98" w:rsidRPr="006218A3">
        <w:rPr>
          <w:rFonts w:ascii="Arial" w:hAnsi="Arial" w:cs="Arial"/>
        </w:rPr>
        <w:t xml:space="preserve">; </w:t>
      </w:r>
    </w:p>
    <w:p w:rsidR="001D3D75" w:rsidRPr="006218A3" w:rsidRDefault="009D0C98" w:rsidP="00D65C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>Стабильность и положительная динамика</w:t>
      </w:r>
      <w:r w:rsidR="00CF7DC5" w:rsidRPr="006218A3">
        <w:rPr>
          <w:rFonts w:ascii="Arial" w:hAnsi="Arial" w:cs="Arial"/>
        </w:rPr>
        <w:t xml:space="preserve"> развития финансовой системы, </w:t>
      </w:r>
      <w:r w:rsidRPr="006218A3">
        <w:rPr>
          <w:rFonts w:ascii="Arial" w:hAnsi="Arial" w:cs="Arial"/>
        </w:rPr>
        <w:t xml:space="preserve">приемлемые </w:t>
      </w:r>
      <w:r w:rsidR="00CF7DC5" w:rsidRPr="006218A3">
        <w:rPr>
          <w:rFonts w:ascii="Arial" w:hAnsi="Arial" w:cs="Arial"/>
        </w:rPr>
        <w:t>услови</w:t>
      </w:r>
      <w:r w:rsidRPr="006218A3">
        <w:rPr>
          <w:rFonts w:ascii="Arial" w:hAnsi="Arial" w:cs="Arial"/>
        </w:rPr>
        <w:t>я</w:t>
      </w:r>
      <w:r w:rsidR="00CF7DC5" w:rsidRPr="006218A3">
        <w:rPr>
          <w:rFonts w:ascii="Arial" w:hAnsi="Arial" w:cs="Arial"/>
        </w:rPr>
        <w:t xml:space="preserve"> кредитования</w:t>
      </w:r>
      <w:r w:rsidR="00DD06CC" w:rsidRPr="006218A3">
        <w:rPr>
          <w:rFonts w:ascii="Arial" w:hAnsi="Arial" w:cs="Arial"/>
        </w:rPr>
        <w:t xml:space="preserve"> бизнеса и населения</w:t>
      </w:r>
      <w:r w:rsidR="0076365A" w:rsidRPr="006218A3">
        <w:rPr>
          <w:rFonts w:ascii="Arial" w:hAnsi="Arial" w:cs="Arial"/>
        </w:rPr>
        <w:t>;</w:t>
      </w:r>
      <w:r w:rsidR="00CF7DC5" w:rsidRPr="006218A3">
        <w:rPr>
          <w:rFonts w:ascii="Arial" w:hAnsi="Arial" w:cs="Arial"/>
        </w:rPr>
        <w:t xml:space="preserve"> </w:t>
      </w:r>
      <w:r w:rsidR="0076365A" w:rsidRPr="006218A3">
        <w:rPr>
          <w:rFonts w:ascii="Arial" w:hAnsi="Arial" w:cs="Arial"/>
        </w:rPr>
        <w:t>контроль</w:t>
      </w:r>
      <w:r w:rsidR="00CF7DC5" w:rsidRPr="006218A3">
        <w:rPr>
          <w:rFonts w:ascii="Arial" w:hAnsi="Arial" w:cs="Arial"/>
        </w:rPr>
        <w:t xml:space="preserve"> </w:t>
      </w:r>
      <w:r w:rsidR="001D3D75" w:rsidRPr="006218A3">
        <w:rPr>
          <w:rFonts w:ascii="Arial" w:hAnsi="Arial" w:cs="Arial"/>
        </w:rPr>
        <w:t xml:space="preserve">денежной системы и </w:t>
      </w:r>
      <w:r w:rsidR="00CF7DC5" w:rsidRPr="006218A3">
        <w:rPr>
          <w:rFonts w:ascii="Arial" w:hAnsi="Arial" w:cs="Arial"/>
        </w:rPr>
        <w:t>курса национальной валюты по отношению к другим валютам</w:t>
      </w:r>
      <w:r w:rsidR="001D3D75" w:rsidRPr="006218A3">
        <w:rPr>
          <w:rFonts w:ascii="Arial" w:hAnsi="Arial" w:cs="Arial"/>
        </w:rPr>
        <w:t xml:space="preserve">; </w:t>
      </w:r>
    </w:p>
    <w:p w:rsidR="00F76A51" w:rsidRPr="006218A3" w:rsidRDefault="001D3D75" w:rsidP="00D65C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>Р</w:t>
      </w:r>
      <w:r w:rsidR="0076365A" w:rsidRPr="006218A3">
        <w:rPr>
          <w:rFonts w:ascii="Arial" w:hAnsi="Arial" w:cs="Arial"/>
        </w:rPr>
        <w:t xml:space="preserve">азвитие </w:t>
      </w:r>
      <w:r w:rsidR="00CF7DC5" w:rsidRPr="006218A3">
        <w:rPr>
          <w:rFonts w:ascii="Arial" w:hAnsi="Arial" w:cs="Arial"/>
        </w:rPr>
        <w:t>трудовых ресурсов и</w:t>
      </w:r>
      <w:r w:rsidRPr="006218A3">
        <w:rPr>
          <w:rFonts w:ascii="Arial" w:hAnsi="Arial" w:cs="Arial"/>
        </w:rPr>
        <w:t xml:space="preserve"> уровня квалификации работников, социальна</w:t>
      </w:r>
      <w:r w:rsidR="00605000" w:rsidRPr="006218A3">
        <w:rPr>
          <w:rFonts w:ascii="Arial" w:hAnsi="Arial" w:cs="Arial"/>
        </w:rPr>
        <w:t>я</w:t>
      </w:r>
      <w:r w:rsidRPr="006218A3">
        <w:rPr>
          <w:rFonts w:ascii="Arial" w:hAnsi="Arial" w:cs="Arial"/>
        </w:rPr>
        <w:t xml:space="preserve"> поддержка населения;</w:t>
      </w:r>
    </w:p>
    <w:p w:rsidR="00201F04" w:rsidRPr="006218A3" w:rsidRDefault="001F6D0F" w:rsidP="00D65C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>Преодоление экономического спада 2015 года, вызванного внешними факторами и политическими событиями (обрушение</w:t>
      </w:r>
      <w:r w:rsidR="00EF3E38" w:rsidRPr="006218A3">
        <w:rPr>
          <w:rFonts w:ascii="Arial" w:hAnsi="Arial" w:cs="Arial"/>
        </w:rPr>
        <w:t>м</w:t>
      </w:r>
      <w:r w:rsidRPr="006218A3">
        <w:rPr>
          <w:rFonts w:ascii="Arial" w:hAnsi="Arial" w:cs="Arial"/>
        </w:rPr>
        <w:t xml:space="preserve"> мировых цен нефти, газа и других сырьевых товаров; </w:t>
      </w:r>
      <w:r w:rsidR="00506AC9" w:rsidRPr="006218A3">
        <w:rPr>
          <w:rFonts w:ascii="Arial" w:hAnsi="Arial" w:cs="Arial"/>
        </w:rPr>
        <w:t>гос</w:t>
      </w:r>
      <w:r w:rsidRPr="006218A3">
        <w:rPr>
          <w:rFonts w:ascii="Arial" w:hAnsi="Arial" w:cs="Arial"/>
        </w:rPr>
        <w:t>переворот</w:t>
      </w:r>
      <w:r w:rsidR="00EF3E38" w:rsidRPr="006218A3">
        <w:rPr>
          <w:rFonts w:ascii="Arial" w:hAnsi="Arial" w:cs="Arial"/>
        </w:rPr>
        <w:t xml:space="preserve">ом </w:t>
      </w:r>
      <w:r w:rsidRPr="006218A3">
        <w:rPr>
          <w:rFonts w:ascii="Arial" w:hAnsi="Arial" w:cs="Arial"/>
        </w:rPr>
        <w:t>на Украине</w:t>
      </w:r>
      <w:r w:rsidR="003163E8" w:rsidRPr="006218A3">
        <w:rPr>
          <w:rFonts w:ascii="Arial" w:hAnsi="Arial" w:cs="Arial"/>
        </w:rPr>
        <w:t xml:space="preserve"> 2014 года</w:t>
      </w:r>
      <w:r w:rsidRPr="006218A3">
        <w:rPr>
          <w:rFonts w:ascii="Arial" w:hAnsi="Arial" w:cs="Arial"/>
        </w:rPr>
        <w:t>) и переход к положител</w:t>
      </w:r>
      <w:r w:rsidR="00201F04" w:rsidRPr="006218A3">
        <w:rPr>
          <w:rFonts w:ascii="Arial" w:hAnsi="Arial" w:cs="Arial"/>
        </w:rPr>
        <w:t>ьному тренду развития экономики;</w:t>
      </w:r>
    </w:p>
    <w:p w:rsidR="00201F04" w:rsidRPr="006218A3" w:rsidRDefault="00061AFE" w:rsidP="00D65C12">
      <w:pPr>
        <w:spacing w:before="240" w:line="240" w:lineRule="auto"/>
        <w:ind w:left="6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 xml:space="preserve">Важнейшие </w:t>
      </w:r>
      <w:r w:rsidR="007E17BC" w:rsidRPr="006218A3">
        <w:rPr>
          <w:rFonts w:ascii="Arial" w:hAnsi="Arial" w:cs="Arial"/>
        </w:rPr>
        <w:t>за последние 15 лет международные</w:t>
      </w:r>
      <w:r w:rsidR="00201F04" w:rsidRPr="006218A3">
        <w:rPr>
          <w:rFonts w:ascii="Arial" w:hAnsi="Arial" w:cs="Arial"/>
        </w:rPr>
        <w:t xml:space="preserve"> события</w:t>
      </w:r>
      <w:r w:rsidR="004B32D7" w:rsidRPr="006218A3">
        <w:rPr>
          <w:rFonts w:ascii="Arial" w:hAnsi="Arial" w:cs="Arial"/>
        </w:rPr>
        <w:t>, оказавшие влияние на сегодняшнее состояние экономики России</w:t>
      </w:r>
      <w:r w:rsidR="003163E8" w:rsidRPr="006218A3">
        <w:rPr>
          <w:rFonts w:ascii="Arial" w:hAnsi="Arial" w:cs="Arial"/>
        </w:rPr>
        <w:t>:</w:t>
      </w:r>
    </w:p>
    <w:p w:rsidR="00FD0676" w:rsidRPr="006218A3" w:rsidRDefault="00FD0676" w:rsidP="00D65C12">
      <w:pPr>
        <w:pStyle w:val="a3"/>
        <w:numPr>
          <w:ilvl w:val="0"/>
          <w:numId w:val="3"/>
        </w:numPr>
        <w:spacing w:line="240" w:lineRule="auto"/>
        <w:ind w:hanging="219"/>
        <w:jc w:val="both"/>
        <w:rPr>
          <w:rFonts w:ascii="Arial" w:hAnsi="Arial" w:cs="Arial"/>
          <w:bCs/>
        </w:rPr>
      </w:pPr>
      <w:r w:rsidRPr="006218A3">
        <w:rPr>
          <w:rFonts w:ascii="Arial" w:hAnsi="Arial" w:cs="Arial"/>
          <w:bCs/>
        </w:rPr>
        <w:t>Свержение Западом</w:t>
      </w:r>
      <w:r w:rsidR="00DE5E69" w:rsidRPr="006218A3">
        <w:rPr>
          <w:rFonts w:ascii="Arial" w:hAnsi="Arial" w:cs="Arial"/>
          <w:bCs/>
        </w:rPr>
        <w:t xml:space="preserve"> </w:t>
      </w:r>
      <w:r w:rsidR="00061AFE" w:rsidRPr="006218A3">
        <w:rPr>
          <w:rFonts w:ascii="Arial" w:hAnsi="Arial" w:cs="Arial"/>
          <w:bCs/>
        </w:rPr>
        <w:t xml:space="preserve">законных </w:t>
      </w:r>
      <w:r w:rsidRPr="006218A3">
        <w:rPr>
          <w:rFonts w:ascii="Arial" w:hAnsi="Arial" w:cs="Arial"/>
          <w:bCs/>
        </w:rPr>
        <w:t>правительств, неугодных с позиции глобальной политической и экономической конкуренции: в Ираке, Югославии, Афганистане, Ливии, Египте. Организация госпереворота в Украине и попытка свержения законного правительства в Сирии. Это привело в движение массы беженцев и мигрантов из Африки, Ближнего Востока, Украины</w:t>
      </w:r>
      <w:r w:rsidR="00061AFE" w:rsidRPr="006218A3">
        <w:rPr>
          <w:rFonts w:ascii="Arial" w:hAnsi="Arial" w:cs="Arial"/>
          <w:bCs/>
        </w:rPr>
        <w:t xml:space="preserve">. Нарушены экономические связи России с рядом </w:t>
      </w:r>
      <w:r w:rsidR="00061AFE" w:rsidRPr="006218A3">
        <w:rPr>
          <w:rFonts w:ascii="Arial" w:hAnsi="Arial" w:cs="Arial"/>
          <w:bCs/>
        </w:rPr>
        <w:lastRenderedPageBreak/>
        <w:t>стран Западной и Восточной Европы, возникли препятствия в транспортном сообщении, транзите товаров (в том числе, нефти и газа)</w:t>
      </w:r>
      <w:r w:rsidRPr="006218A3">
        <w:rPr>
          <w:rFonts w:ascii="Arial" w:hAnsi="Arial" w:cs="Arial"/>
          <w:bCs/>
        </w:rPr>
        <w:t>;</w:t>
      </w:r>
    </w:p>
    <w:p w:rsidR="00FD0676" w:rsidRPr="006218A3" w:rsidRDefault="00FD0676" w:rsidP="00D65C12">
      <w:pPr>
        <w:pStyle w:val="a3"/>
        <w:numPr>
          <w:ilvl w:val="0"/>
          <w:numId w:val="3"/>
        </w:numPr>
        <w:spacing w:line="240" w:lineRule="auto"/>
        <w:ind w:hanging="219"/>
        <w:jc w:val="both"/>
        <w:rPr>
          <w:rFonts w:ascii="Arial" w:hAnsi="Arial" w:cs="Arial"/>
          <w:bCs/>
        </w:rPr>
      </w:pPr>
      <w:r w:rsidRPr="006218A3">
        <w:rPr>
          <w:rFonts w:ascii="Arial" w:hAnsi="Arial" w:cs="Arial"/>
          <w:bCs/>
        </w:rPr>
        <w:t>Создание Западом пояса напряжённости и военных конфликтов в ближайшем окружении России (Прибалтика, Украина, Грузия, Ближний Восток)</w:t>
      </w:r>
      <w:r w:rsidR="00061AFE" w:rsidRPr="006218A3">
        <w:rPr>
          <w:rFonts w:ascii="Arial" w:hAnsi="Arial" w:cs="Arial"/>
          <w:bCs/>
        </w:rPr>
        <w:t>, размещение самых современных средств ПВО у российских границ</w:t>
      </w:r>
      <w:r w:rsidRPr="006218A3">
        <w:rPr>
          <w:rFonts w:ascii="Arial" w:hAnsi="Arial" w:cs="Arial"/>
          <w:bCs/>
        </w:rPr>
        <w:t xml:space="preserve"> заставило </w:t>
      </w:r>
      <w:r w:rsidR="00061AFE" w:rsidRPr="006218A3">
        <w:rPr>
          <w:rFonts w:ascii="Arial" w:hAnsi="Arial" w:cs="Arial"/>
          <w:bCs/>
        </w:rPr>
        <w:t>принять меры оборонного характера, что привело к увеличению затрат госбюджета на оборону;</w:t>
      </w:r>
    </w:p>
    <w:p w:rsidR="006A04CA" w:rsidRPr="006218A3" w:rsidRDefault="007A42F2" w:rsidP="00D65C12">
      <w:pPr>
        <w:pStyle w:val="a3"/>
        <w:numPr>
          <w:ilvl w:val="0"/>
          <w:numId w:val="3"/>
        </w:numPr>
        <w:spacing w:line="240" w:lineRule="auto"/>
        <w:ind w:hanging="219"/>
        <w:jc w:val="both"/>
        <w:rPr>
          <w:rFonts w:ascii="Arial" w:hAnsi="Arial" w:cs="Arial"/>
          <w:bCs/>
        </w:rPr>
      </w:pPr>
      <w:r w:rsidRPr="006218A3">
        <w:rPr>
          <w:rFonts w:ascii="Arial" w:hAnsi="Arial" w:cs="Arial"/>
          <w:bCs/>
        </w:rPr>
        <w:t>Санкции</w:t>
      </w:r>
      <w:r w:rsidR="00FD0676" w:rsidRPr="006218A3">
        <w:rPr>
          <w:rFonts w:ascii="Arial" w:hAnsi="Arial" w:cs="Arial"/>
          <w:bCs/>
        </w:rPr>
        <w:t xml:space="preserve"> </w:t>
      </w:r>
      <w:r w:rsidRPr="006218A3">
        <w:rPr>
          <w:rFonts w:ascii="Arial" w:hAnsi="Arial" w:cs="Arial"/>
          <w:bCs/>
        </w:rPr>
        <w:t xml:space="preserve">и другие </w:t>
      </w:r>
      <w:r w:rsidR="00FD0676" w:rsidRPr="006218A3">
        <w:rPr>
          <w:rFonts w:ascii="Arial" w:hAnsi="Arial" w:cs="Arial"/>
          <w:bCs/>
        </w:rPr>
        <w:t>препятстви</w:t>
      </w:r>
      <w:r w:rsidRPr="006218A3">
        <w:rPr>
          <w:rFonts w:ascii="Arial" w:hAnsi="Arial" w:cs="Arial"/>
          <w:bCs/>
        </w:rPr>
        <w:t>я</w:t>
      </w:r>
      <w:r w:rsidR="00FD0676" w:rsidRPr="006218A3">
        <w:rPr>
          <w:rFonts w:ascii="Arial" w:hAnsi="Arial" w:cs="Arial"/>
          <w:bCs/>
        </w:rPr>
        <w:t xml:space="preserve"> </w:t>
      </w:r>
      <w:r w:rsidR="00D252C3" w:rsidRPr="006218A3">
        <w:rPr>
          <w:rFonts w:ascii="Arial" w:hAnsi="Arial" w:cs="Arial"/>
          <w:bCs/>
        </w:rPr>
        <w:t xml:space="preserve">с целью </w:t>
      </w:r>
      <w:r w:rsidRPr="006218A3">
        <w:rPr>
          <w:rFonts w:ascii="Arial" w:hAnsi="Arial" w:cs="Arial"/>
          <w:bCs/>
        </w:rPr>
        <w:t>огранич</w:t>
      </w:r>
      <w:r w:rsidR="00680EA2" w:rsidRPr="006218A3">
        <w:rPr>
          <w:rFonts w:ascii="Arial" w:hAnsi="Arial" w:cs="Arial"/>
          <w:bCs/>
        </w:rPr>
        <w:t>ен</w:t>
      </w:r>
      <w:r w:rsidRPr="006218A3">
        <w:rPr>
          <w:rFonts w:ascii="Arial" w:hAnsi="Arial" w:cs="Arial"/>
          <w:bCs/>
        </w:rPr>
        <w:t>и</w:t>
      </w:r>
      <w:r w:rsidR="00680EA2" w:rsidRPr="006218A3">
        <w:rPr>
          <w:rFonts w:ascii="Arial" w:hAnsi="Arial" w:cs="Arial"/>
          <w:bCs/>
        </w:rPr>
        <w:t>я</w:t>
      </w:r>
      <w:r w:rsidRPr="006218A3">
        <w:rPr>
          <w:rFonts w:ascii="Arial" w:hAnsi="Arial" w:cs="Arial"/>
          <w:bCs/>
        </w:rPr>
        <w:t xml:space="preserve"> международно</w:t>
      </w:r>
      <w:r w:rsidR="00680EA2" w:rsidRPr="006218A3">
        <w:rPr>
          <w:rFonts w:ascii="Arial" w:hAnsi="Arial" w:cs="Arial"/>
          <w:bCs/>
        </w:rPr>
        <w:t>го</w:t>
      </w:r>
      <w:r w:rsidRPr="006218A3">
        <w:rPr>
          <w:rFonts w:ascii="Arial" w:hAnsi="Arial" w:cs="Arial"/>
          <w:bCs/>
        </w:rPr>
        <w:t xml:space="preserve"> взаимодействи</w:t>
      </w:r>
      <w:r w:rsidR="00680EA2" w:rsidRPr="006218A3">
        <w:rPr>
          <w:rFonts w:ascii="Arial" w:hAnsi="Arial" w:cs="Arial"/>
          <w:bCs/>
        </w:rPr>
        <w:t>я</w:t>
      </w:r>
      <w:r w:rsidRPr="006218A3">
        <w:rPr>
          <w:rFonts w:ascii="Arial" w:hAnsi="Arial" w:cs="Arial"/>
          <w:bCs/>
        </w:rPr>
        <w:t xml:space="preserve"> </w:t>
      </w:r>
      <w:r w:rsidR="00680EA2" w:rsidRPr="006218A3">
        <w:rPr>
          <w:rFonts w:ascii="Arial" w:hAnsi="Arial" w:cs="Arial"/>
          <w:bCs/>
        </w:rPr>
        <w:t xml:space="preserve">с Россией со стороны компаний и политиков </w:t>
      </w:r>
      <w:r w:rsidR="00D252C3" w:rsidRPr="006218A3">
        <w:rPr>
          <w:rFonts w:ascii="Arial" w:hAnsi="Arial" w:cs="Arial"/>
          <w:bCs/>
        </w:rPr>
        <w:t xml:space="preserve">США, Канады, Евросоюза, Японии, </w:t>
      </w:r>
      <w:r w:rsidR="00680EA2" w:rsidRPr="006218A3">
        <w:rPr>
          <w:rFonts w:ascii="Arial" w:hAnsi="Arial" w:cs="Arial"/>
          <w:bCs/>
        </w:rPr>
        <w:t xml:space="preserve">Австралии и </w:t>
      </w:r>
      <w:r w:rsidR="00D252C3" w:rsidRPr="006218A3">
        <w:rPr>
          <w:rFonts w:ascii="Arial" w:hAnsi="Arial" w:cs="Arial"/>
          <w:bCs/>
        </w:rPr>
        <w:t>Новой Зеландии</w:t>
      </w:r>
      <w:r w:rsidR="00BC478A" w:rsidRPr="006218A3">
        <w:rPr>
          <w:rFonts w:ascii="Arial" w:hAnsi="Arial" w:cs="Arial"/>
          <w:bCs/>
        </w:rPr>
        <w:t xml:space="preserve"> заставля</w:t>
      </w:r>
      <w:r w:rsidR="00D65C12" w:rsidRPr="006218A3">
        <w:rPr>
          <w:rFonts w:ascii="Arial" w:hAnsi="Arial" w:cs="Arial"/>
          <w:bCs/>
        </w:rPr>
        <w:t>ют</w:t>
      </w:r>
      <w:r w:rsidR="00BC478A" w:rsidRPr="006218A3">
        <w:rPr>
          <w:rFonts w:ascii="Arial" w:hAnsi="Arial" w:cs="Arial"/>
          <w:bCs/>
        </w:rPr>
        <w:t xml:space="preserve"> Россию искать пути диверсификации экономических отношений в направлении других стран</w:t>
      </w:r>
      <w:r w:rsidR="006A04CA" w:rsidRPr="006218A3">
        <w:rPr>
          <w:rFonts w:ascii="Arial" w:hAnsi="Arial" w:cs="Arial"/>
          <w:bCs/>
        </w:rPr>
        <w:t xml:space="preserve"> (</w:t>
      </w:r>
      <w:r w:rsidR="00BC478A" w:rsidRPr="006218A3">
        <w:rPr>
          <w:rFonts w:ascii="Arial" w:hAnsi="Arial" w:cs="Arial"/>
          <w:bCs/>
        </w:rPr>
        <w:t>Китай, Индия, Иран, Корея, Бразилия, ЮАР, Венесуэла и другие</w:t>
      </w:r>
      <w:r w:rsidR="006A04CA" w:rsidRPr="006218A3">
        <w:rPr>
          <w:rFonts w:ascii="Arial" w:hAnsi="Arial" w:cs="Arial"/>
          <w:bCs/>
        </w:rPr>
        <w:t>)</w:t>
      </w:r>
      <w:r w:rsidR="00BC478A" w:rsidRPr="006218A3">
        <w:rPr>
          <w:rFonts w:ascii="Arial" w:hAnsi="Arial" w:cs="Arial"/>
          <w:bCs/>
        </w:rPr>
        <w:t xml:space="preserve">, а также восстанавливать и углублять отношения со странами </w:t>
      </w:r>
      <w:proofErr w:type="spellStart"/>
      <w:r w:rsidR="006A04CA" w:rsidRPr="006218A3">
        <w:rPr>
          <w:rFonts w:ascii="Arial" w:hAnsi="Arial" w:cs="Arial"/>
          <w:bCs/>
        </w:rPr>
        <w:t>ЕврАзЭс</w:t>
      </w:r>
      <w:proofErr w:type="spellEnd"/>
      <w:r w:rsidR="00BC478A" w:rsidRPr="006218A3">
        <w:rPr>
          <w:rFonts w:ascii="Arial" w:hAnsi="Arial" w:cs="Arial"/>
          <w:bCs/>
        </w:rPr>
        <w:t xml:space="preserve"> (Армения, Белоруссия, Казахстан, </w:t>
      </w:r>
      <w:r w:rsidR="006A04CA" w:rsidRPr="006218A3">
        <w:rPr>
          <w:rFonts w:ascii="Arial" w:hAnsi="Arial" w:cs="Arial"/>
          <w:bCs/>
        </w:rPr>
        <w:t>Киргизия</w:t>
      </w:r>
      <w:r w:rsidR="00BC478A" w:rsidRPr="006218A3">
        <w:rPr>
          <w:rFonts w:ascii="Arial" w:hAnsi="Arial" w:cs="Arial"/>
          <w:bCs/>
        </w:rPr>
        <w:t xml:space="preserve">) </w:t>
      </w:r>
      <w:r w:rsidR="006A04CA" w:rsidRPr="006218A3">
        <w:rPr>
          <w:rFonts w:ascii="Arial" w:hAnsi="Arial" w:cs="Arial"/>
          <w:bCs/>
        </w:rPr>
        <w:t xml:space="preserve">и другими среднеазиатскими республиками (Азербайджан, Таджикистан, Узбекистан). </w:t>
      </w:r>
      <w:r w:rsidR="00BC478A" w:rsidRPr="006218A3">
        <w:rPr>
          <w:rFonts w:ascii="Arial" w:hAnsi="Arial" w:cs="Arial"/>
          <w:bCs/>
        </w:rPr>
        <w:t xml:space="preserve">Предпринимаются </w:t>
      </w:r>
      <w:r w:rsidR="006A04CA" w:rsidRPr="006218A3">
        <w:rPr>
          <w:rFonts w:ascii="Arial" w:hAnsi="Arial" w:cs="Arial"/>
          <w:bCs/>
        </w:rPr>
        <w:t>действия</w:t>
      </w:r>
      <w:r w:rsidR="00BC478A" w:rsidRPr="006218A3">
        <w:rPr>
          <w:rFonts w:ascii="Arial" w:hAnsi="Arial" w:cs="Arial"/>
          <w:bCs/>
        </w:rPr>
        <w:t xml:space="preserve"> по созданию финансовых механизмов, которые позволили бы снизить роль западных валют в международных расчётах России и снизить финансовую зависимость от Запада</w:t>
      </w:r>
      <w:r w:rsidR="00015CA2" w:rsidRPr="006218A3">
        <w:rPr>
          <w:rFonts w:ascii="Arial" w:hAnsi="Arial" w:cs="Arial"/>
          <w:bCs/>
        </w:rPr>
        <w:t>;</w:t>
      </w:r>
    </w:p>
    <w:p w:rsidR="00D9353D" w:rsidRPr="006218A3" w:rsidRDefault="006172D3" w:rsidP="00D65C12">
      <w:pPr>
        <w:pStyle w:val="a3"/>
        <w:numPr>
          <w:ilvl w:val="0"/>
          <w:numId w:val="3"/>
        </w:numPr>
        <w:spacing w:line="240" w:lineRule="auto"/>
        <w:ind w:hanging="219"/>
        <w:jc w:val="both"/>
        <w:rPr>
          <w:rFonts w:ascii="Arial" w:hAnsi="Arial" w:cs="Arial"/>
          <w:bCs/>
        </w:rPr>
      </w:pPr>
      <w:r w:rsidRPr="006218A3">
        <w:rPr>
          <w:rFonts w:ascii="Arial" w:hAnsi="Arial" w:cs="Arial"/>
          <w:bCs/>
        </w:rPr>
        <w:t xml:space="preserve">С июня 2014 по декабрь 2015 года мировые цены нефти </w:t>
      </w:r>
      <w:r w:rsidRPr="006218A3">
        <w:rPr>
          <w:rFonts w:ascii="Arial" w:hAnsi="Arial" w:cs="Arial"/>
          <w:bCs/>
          <w:lang w:val="en-US"/>
        </w:rPr>
        <w:t>Brent</w:t>
      </w:r>
      <w:r w:rsidRPr="006218A3">
        <w:rPr>
          <w:rFonts w:ascii="Arial" w:hAnsi="Arial" w:cs="Arial"/>
          <w:bCs/>
        </w:rPr>
        <w:t xml:space="preserve"> «рухнули» </w:t>
      </w:r>
      <w:r w:rsidR="00015CA2" w:rsidRPr="006218A3">
        <w:rPr>
          <w:rFonts w:ascii="Arial" w:hAnsi="Arial" w:cs="Arial"/>
          <w:bCs/>
        </w:rPr>
        <w:t xml:space="preserve">со 112 до </w:t>
      </w:r>
      <w:r w:rsidR="0085105F" w:rsidRPr="006218A3">
        <w:rPr>
          <w:rFonts w:ascii="Arial" w:hAnsi="Arial" w:cs="Arial"/>
          <w:bCs/>
        </w:rPr>
        <w:t>27</w:t>
      </w:r>
      <w:r w:rsidR="00015CA2" w:rsidRPr="006218A3">
        <w:rPr>
          <w:rFonts w:ascii="Arial" w:hAnsi="Arial" w:cs="Arial"/>
          <w:bCs/>
        </w:rPr>
        <w:t xml:space="preserve"> долл. США за барр., а рубль обесценился с 32 до 77 руб./долл. США. </w:t>
      </w:r>
      <w:r w:rsidR="00EE2792" w:rsidRPr="006218A3">
        <w:rPr>
          <w:rFonts w:ascii="Arial" w:hAnsi="Arial" w:cs="Arial"/>
          <w:bCs/>
        </w:rPr>
        <w:t>Учитывая привязку цен газа к ценам нефти, э</w:t>
      </w:r>
      <w:r w:rsidR="0085105F" w:rsidRPr="006218A3">
        <w:rPr>
          <w:rFonts w:ascii="Arial" w:hAnsi="Arial" w:cs="Arial"/>
          <w:bCs/>
        </w:rPr>
        <w:t>то остановило поступлени</w:t>
      </w:r>
      <w:r w:rsidR="00DC2DAC" w:rsidRPr="006218A3">
        <w:rPr>
          <w:rFonts w:ascii="Arial" w:hAnsi="Arial" w:cs="Arial"/>
          <w:bCs/>
        </w:rPr>
        <w:t>е</w:t>
      </w:r>
      <w:r w:rsidR="0085105F" w:rsidRPr="006218A3">
        <w:rPr>
          <w:rFonts w:ascii="Arial" w:hAnsi="Arial" w:cs="Arial"/>
          <w:bCs/>
        </w:rPr>
        <w:t xml:space="preserve"> </w:t>
      </w:r>
      <w:r w:rsidR="00EE2792" w:rsidRPr="006218A3">
        <w:rPr>
          <w:rFonts w:ascii="Arial" w:hAnsi="Arial" w:cs="Arial"/>
          <w:bCs/>
        </w:rPr>
        <w:t xml:space="preserve">нефтегазовых доходов </w:t>
      </w:r>
      <w:r w:rsidR="0085105F" w:rsidRPr="006218A3">
        <w:rPr>
          <w:rFonts w:ascii="Arial" w:hAnsi="Arial" w:cs="Arial"/>
          <w:bCs/>
        </w:rPr>
        <w:t xml:space="preserve">в </w:t>
      </w:r>
      <w:r w:rsidR="00687CB1" w:rsidRPr="006218A3">
        <w:rPr>
          <w:rFonts w:ascii="Arial" w:hAnsi="Arial" w:cs="Arial"/>
          <w:bCs/>
        </w:rPr>
        <w:t>госбюджет</w:t>
      </w:r>
      <w:r w:rsidR="00EE2792" w:rsidRPr="006218A3">
        <w:rPr>
          <w:rFonts w:ascii="Arial" w:hAnsi="Arial" w:cs="Arial"/>
          <w:bCs/>
        </w:rPr>
        <w:t>.</w:t>
      </w:r>
      <w:r w:rsidR="0085105F" w:rsidRPr="006218A3">
        <w:rPr>
          <w:rFonts w:ascii="Arial" w:hAnsi="Arial" w:cs="Arial"/>
          <w:bCs/>
        </w:rPr>
        <w:t xml:space="preserve"> </w:t>
      </w:r>
      <w:r w:rsidR="00EE2792" w:rsidRPr="006218A3">
        <w:rPr>
          <w:rFonts w:ascii="Arial" w:hAnsi="Arial" w:cs="Arial"/>
          <w:bCs/>
        </w:rPr>
        <w:t xml:space="preserve">Сегодня перспектива </w:t>
      </w:r>
      <w:r w:rsidR="00433D49" w:rsidRPr="006218A3">
        <w:rPr>
          <w:rFonts w:ascii="Arial" w:hAnsi="Arial" w:cs="Arial"/>
          <w:bCs/>
        </w:rPr>
        <w:t xml:space="preserve">стабилизации </w:t>
      </w:r>
      <w:r w:rsidR="00EE2792" w:rsidRPr="006218A3">
        <w:rPr>
          <w:rFonts w:ascii="Arial" w:hAnsi="Arial" w:cs="Arial"/>
          <w:bCs/>
        </w:rPr>
        <w:t xml:space="preserve">нефтяного рынка скорее обнадёживающая. С одной стороны, </w:t>
      </w:r>
      <w:r w:rsidR="00D9353D" w:rsidRPr="006218A3">
        <w:rPr>
          <w:rFonts w:ascii="Arial" w:hAnsi="Arial" w:cs="Arial"/>
          <w:bCs/>
        </w:rPr>
        <w:t>30 ноября 2016 г. ОПЕК согласовала сокращение добычи нефти на 1,2 млн. барр. в день с октябрьского уровня</w:t>
      </w:r>
      <w:r w:rsidR="00EE2792" w:rsidRPr="006218A3">
        <w:rPr>
          <w:rFonts w:ascii="Arial" w:hAnsi="Arial" w:cs="Arial"/>
          <w:bCs/>
        </w:rPr>
        <w:t>;</w:t>
      </w:r>
      <w:r w:rsidR="00D9353D" w:rsidRPr="006218A3">
        <w:rPr>
          <w:rFonts w:ascii="Arial" w:hAnsi="Arial" w:cs="Arial"/>
          <w:bCs/>
        </w:rPr>
        <w:t xml:space="preserve"> </w:t>
      </w:r>
      <w:r w:rsidR="00EE2792" w:rsidRPr="006218A3">
        <w:rPr>
          <w:rFonts w:ascii="Arial" w:hAnsi="Arial" w:cs="Arial"/>
          <w:bCs/>
        </w:rPr>
        <w:t>е</w:t>
      </w:r>
      <w:r w:rsidR="00D9353D" w:rsidRPr="006218A3">
        <w:rPr>
          <w:rFonts w:ascii="Arial" w:hAnsi="Arial" w:cs="Arial"/>
          <w:bCs/>
        </w:rPr>
        <w:t>щё одиннадцать нефтедобывающих стран также согласовали сокращение на 558 000 барр. в сутки (включая Россию –300 000 барр).</w:t>
      </w:r>
      <w:r w:rsidR="00BC478A" w:rsidRPr="006218A3">
        <w:rPr>
          <w:rFonts w:ascii="Arial" w:hAnsi="Arial" w:cs="Arial"/>
          <w:bCs/>
        </w:rPr>
        <w:t xml:space="preserve"> На таком фоне нефтяной рынок </w:t>
      </w:r>
      <w:proofErr w:type="gramStart"/>
      <w:r w:rsidR="00BC478A" w:rsidRPr="006218A3">
        <w:rPr>
          <w:rFonts w:ascii="Arial" w:hAnsi="Arial" w:cs="Arial"/>
          <w:bCs/>
        </w:rPr>
        <w:t>с</w:t>
      </w:r>
      <w:r w:rsidR="00D9353D" w:rsidRPr="006218A3">
        <w:rPr>
          <w:rFonts w:ascii="Arial" w:hAnsi="Arial" w:cs="Arial"/>
          <w:bCs/>
        </w:rPr>
        <w:t xml:space="preserve">табилизировался и </w:t>
      </w:r>
      <w:r w:rsidR="00BC478A" w:rsidRPr="006218A3">
        <w:rPr>
          <w:rFonts w:ascii="Arial" w:hAnsi="Arial" w:cs="Arial"/>
          <w:bCs/>
        </w:rPr>
        <w:t>к началу 2017 года цена на нефть по</w:t>
      </w:r>
      <w:r w:rsidR="00260E9D" w:rsidRPr="006218A3">
        <w:rPr>
          <w:rFonts w:ascii="Arial" w:hAnsi="Arial" w:cs="Arial"/>
          <w:bCs/>
        </w:rPr>
        <w:t>высилась</w:t>
      </w:r>
      <w:proofErr w:type="gramEnd"/>
      <w:r w:rsidR="00260E9D" w:rsidRPr="006218A3">
        <w:rPr>
          <w:rFonts w:ascii="Arial" w:hAnsi="Arial" w:cs="Arial"/>
          <w:bCs/>
        </w:rPr>
        <w:t xml:space="preserve"> с 51,54 до 56,79 долл.</w:t>
      </w:r>
      <w:r w:rsidR="00BC478A" w:rsidRPr="006218A3">
        <w:rPr>
          <w:rFonts w:ascii="Arial" w:hAnsi="Arial" w:cs="Arial"/>
          <w:bCs/>
        </w:rPr>
        <w:t xml:space="preserve">/баррель нефти </w:t>
      </w:r>
      <w:r w:rsidR="00BC478A" w:rsidRPr="006218A3">
        <w:rPr>
          <w:rFonts w:ascii="Arial" w:hAnsi="Arial" w:cs="Arial"/>
          <w:bCs/>
          <w:lang w:val="en-US"/>
        </w:rPr>
        <w:t>Brent</w:t>
      </w:r>
      <w:r w:rsidR="00BC478A" w:rsidRPr="006218A3">
        <w:rPr>
          <w:rFonts w:ascii="Arial" w:hAnsi="Arial" w:cs="Arial"/>
          <w:bCs/>
        </w:rPr>
        <w:t xml:space="preserve"> (+10,2 %). </w:t>
      </w:r>
      <w:r w:rsidR="00EE2792" w:rsidRPr="006218A3">
        <w:rPr>
          <w:rFonts w:ascii="Arial" w:hAnsi="Arial" w:cs="Arial"/>
          <w:bCs/>
        </w:rPr>
        <w:t>Но, с другой стороны, рост рынка «сдержива</w:t>
      </w:r>
      <w:r w:rsidR="005353E4" w:rsidRPr="006218A3">
        <w:rPr>
          <w:rFonts w:ascii="Arial" w:hAnsi="Arial" w:cs="Arial"/>
          <w:bCs/>
        </w:rPr>
        <w:t>ет</w:t>
      </w:r>
      <w:r w:rsidR="00EE2792" w:rsidRPr="006218A3">
        <w:rPr>
          <w:rFonts w:ascii="Arial" w:hAnsi="Arial" w:cs="Arial"/>
          <w:bCs/>
        </w:rPr>
        <w:t xml:space="preserve">» </w:t>
      </w:r>
      <w:r w:rsidRPr="006218A3">
        <w:rPr>
          <w:rFonts w:ascii="Arial" w:hAnsi="Arial" w:cs="Arial"/>
          <w:bCs/>
        </w:rPr>
        <w:t>сланцев</w:t>
      </w:r>
      <w:r w:rsidR="005353E4" w:rsidRPr="006218A3">
        <w:rPr>
          <w:rFonts w:ascii="Arial" w:hAnsi="Arial" w:cs="Arial"/>
          <w:bCs/>
        </w:rPr>
        <w:t>ый фактор. Добыча сланцевой нефти рентабельна при цен</w:t>
      </w:r>
      <w:r w:rsidR="00687CB1" w:rsidRPr="006218A3">
        <w:rPr>
          <w:rFonts w:ascii="Arial" w:hAnsi="Arial" w:cs="Arial"/>
          <w:bCs/>
        </w:rPr>
        <w:t>е от 50 долл./барр. и сегодня с</w:t>
      </w:r>
      <w:r w:rsidR="005353E4" w:rsidRPr="006218A3">
        <w:rPr>
          <w:rFonts w:ascii="Arial" w:hAnsi="Arial" w:cs="Arial"/>
          <w:bCs/>
        </w:rPr>
        <w:t xml:space="preserve">ланцевые </w:t>
      </w:r>
      <w:r w:rsidR="00EE2792" w:rsidRPr="006218A3">
        <w:rPr>
          <w:rFonts w:ascii="Arial" w:hAnsi="Arial" w:cs="Arial"/>
          <w:bCs/>
        </w:rPr>
        <w:t>компании</w:t>
      </w:r>
      <w:r w:rsidR="00687CB1" w:rsidRPr="006218A3">
        <w:rPr>
          <w:rFonts w:ascii="Arial" w:hAnsi="Arial" w:cs="Arial"/>
          <w:bCs/>
        </w:rPr>
        <w:t xml:space="preserve"> (преимущественно США)</w:t>
      </w:r>
      <w:r w:rsidR="005353E4" w:rsidRPr="006218A3">
        <w:rPr>
          <w:rFonts w:ascii="Arial" w:hAnsi="Arial" w:cs="Arial"/>
          <w:bCs/>
        </w:rPr>
        <w:t xml:space="preserve">, обрушившие </w:t>
      </w:r>
      <w:r w:rsidR="00687CB1" w:rsidRPr="006218A3">
        <w:rPr>
          <w:rFonts w:ascii="Arial" w:hAnsi="Arial" w:cs="Arial"/>
          <w:bCs/>
        </w:rPr>
        <w:t>нефтяной</w:t>
      </w:r>
      <w:r w:rsidR="005353E4" w:rsidRPr="006218A3">
        <w:rPr>
          <w:rFonts w:ascii="Arial" w:hAnsi="Arial" w:cs="Arial"/>
          <w:bCs/>
        </w:rPr>
        <w:t xml:space="preserve"> рынок в 2014 году, но остановившие </w:t>
      </w:r>
      <w:r w:rsidR="00687CB1" w:rsidRPr="006218A3">
        <w:rPr>
          <w:rFonts w:ascii="Arial" w:hAnsi="Arial" w:cs="Arial"/>
          <w:bCs/>
        </w:rPr>
        <w:t>деятельность</w:t>
      </w:r>
      <w:r w:rsidR="005353E4" w:rsidRPr="006218A3">
        <w:rPr>
          <w:rFonts w:ascii="Arial" w:hAnsi="Arial" w:cs="Arial"/>
          <w:bCs/>
        </w:rPr>
        <w:t xml:space="preserve"> в результате резкого падения</w:t>
      </w:r>
      <w:r w:rsidR="00687CB1" w:rsidRPr="006218A3">
        <w:rPr>
          <w:rFonts w:ascii="Arial" w:hAnsi="Arial" w:cs="Arial"/>
          <w:bCs/>
        </w:rPr>
        <w:t xml:space="preserve"> в 2015 году</w:t>
      </w:r>
      <w:r w:rsidR="005353E4" w:rsidRPr="006218A3">
        <w:rPr>
          <w:rFonts w:ascii="Arial" w:hAnsi="Arial" w:cs="Arial"/>
          <w:bCs/>
        </w:rPr>
        <w:t xml:space="preserve">, готовы </w:t>
      </w:r>
      <w:r w:rsidR="00433D49" w:rsidRPr="006218A3">
        <w:rPr>
          <w:rFonts w:ascii="Arial" w:hAnsi="Arial" w:cs="Arial"/>
          <w:bCs/>
        </w:rPr>
        <w:t>восстановить</w:t>
      </w:r>
      <w:r w:rsidR="005353E4" w:rsidRPr="006218A3">
        <w:rPr>
          <w:rFonts w:ascii="Arial" w:hAnsi="Arial" w:cs="Arial"/>
          <w:bCs/>
        </w:rPr>
        <w:t xml:space="preserve"> </w:t>
      </w:r>
      <w:r w:rsidR="00687CB1" w:rsidRPr="006218A3">
        <w:rPr>
          <w:rFonts w:ascii="Arial" w:hAnsi="Arial" w:cs="Arial"/>
          <w:bCs/>
        </w:rPr>
        <w:t xml:space="preserve">добычу, что </w:t>
      </w:r>
      <w:r w:rsidR="00433D49" w:rsidRPr="006218A3">
        <w:rPr>
          <w:rFonts w:ascii="Arial" w:hAnsi="Arial" w:cs="Arial"/>
          <w:bCs/>
        </w:rPr>
        <w:t>вновь может уронить рынок</w:t>
      </w:r>
      <w:r w:rsidR="00687CB1" w:rsidRPr="006218A3">
        <w:rPr>
          <w:rFonts w:ascii="Arial" w:hAnsi="Arial" w:cs="Arial"/>
          <w:bCs/>
        </w:rPr>
        <w:t xml:space="preserve">. </w:t>
      </w:r>
      <w:r w:rsidR="00433D49" w:rsidRPr="006218A3">
        <w:rPr>
          <w:rFonts w:ascii="Arial" w:hAnsi="Arial" w:cs="Arial"/>
          <w:bCs/>
        </w:rPr>
        <w:t>Кроме того, н</w:t>
      </w:r>
      <w:r w:rsidR="00687CB1" w:rsidRPr="006218A3">
        <w:rPr>
          <w:rFonts w:ascii="Arial" w:hAnsi="Arial" w:cs="Arial"/>
          <w:bCs/>
        </w:rPr>
        <w:t xml:space="preserve">а </w:t>
      </w:r>
      <w:r w:rsidR="00260E9D" w:rsidRPr="006218A3">
        <w:rPr>
          <w:rFonts w:ascii="Arial" w:hAnsi="Arial" w:cs="Arial"/>
          <w:bCs/>
        </w:rPr>
        <w:t xml:space="preserve">мировой </w:t>
      </w:r>
      <w:r w:rsidR="00687CB1" w:rsidRPr="006218A3">
        <w:rPr>
          <w:rFonts w:ascii="Arial" w:hAnsi="Arial" w:cs="Arial"/>
          <w:bCs/>
        </w:rPr>
        <w:t>рынок</w:t>
      </w:r>
      <w:r w:rsidR="007E17BC" w:rsidRPr="006218A3">
        <w:rPr>
          <w:rFonts w:ascii="Arial" w:hAnsi="Arial" w:cs="Arial"/>
          <w:bCs/>
        </w:rPr>
        <w:t xml:space="preserve"> </w:t>
      </w:r>
      <w:r w:rsidR="00260E9D" w:rsidRPr="006218A3">
        <w:rPr>
          <w:rFonts w:ascii="Arial" w:hAnsi="Arial" w:cs="Arial"/>
          <w:bCs/>
        </w:rPr>
        <w:t xml:space="preserve">нефти </w:t>
      </w:r>
      <w:r w:rsidR="007E17BC" w:rsidRPr="006218A3">
        <w:rPr>
          <w:rFonts w:ascii="Arial" w:hAnsi="Arial" w:cs="Arial"/>
          <w:bCs/>
        </w:rPr>
        <w:t>возвращаются</w:t>
      </w:r>
      <w:r w:rsidR="00433D49" w:rsidRPr="006218A3">
        <w:rPr>
          <w:rFonts w:ascii="Arial" w:hAnsi="Arial" w:cs="Arial"/>
          <w:bCs/>
        </w:rPr>
        <w:t xml:space="preserve"> Иран</w:t>
      </w:r>
      <w:r w:rsidR="007E17BC" w:rsidRPr="006218A3">
        <w:rPr>
          <w:rFonts w:ascii="Arial" w:hAnsi="Arial" w:cs="Arial"/>
          <w:bCs/>
        </w:rPr>
        <w:t>, Ливия, Ирак</w:t>
      </w:r>
      <w:r w:rsidR="00260E9D" w:rsidRPr="006218A3">
        <w:rPr>
          <w:rFonts w:ascii="Arial" w:hAnsi="Arial" w:cs="Arial"/>
          <w:bCs/>
        </w:rPr>
        <w:t>, что увеличит объёмы предложения</w:t>
      </w:r>
      <w:r w:rsidR="007E17BC" w:rsidRPr="006218A3">
        <w:rPr>
          <w:rFonts w:ascii="Arial" w:hAnsi="Arial" w:cs="Arial"/>
          <w:bCs/>
        </w:rPr>
        <w:t>.</w:t>
      </w:r>
      <w:r w:rsidR="00260E9D" w:rsidRPr="006218A3">
        <w:rPr>
          <w:rFonts w:ascii="Arial" w:hAnsi="Arial" w:cs="Arial"/>
          <w:bCs/>
        </w:rPr>
        <w:t xml:space="preserve"> С учетом общемировой политической </w:t>
      </w:r>
      <w:r w:rsidR="00F37B41" w:rsidRPr="006218A3">
        <w:rPr>
          <w:rFonts w:ascii="Arial" w:hAnsi="Arial" w:cs="Arial"/>
          <w:bCs/>
        </w:rPr>
        <w:t>нестабильности</w:t>
      </w:r>
      <w:r w:rsidR="00260E9D" w:rsidRPr="006218A3">
        <w:rPr>
          <w:rFonts w:ascii="Arial" w:hAnsi="Arial" w:cs="Arial"/>
          <w:bCs/>
        </w:rPr>
        <w:t xml:space="preserve"> значительного роста спроса на рынке </w:t>
      </w:r>
      <w:r w:rsidR="00F37B41" w:rsidRPr="006218A3">
        <w:rPr>
          <w:rFonts w:ascii="Arial" w:hAnsi="Arial" w:cs="Arial"/>
          <w:bCs/>
        </w:rPr>
        <w:t xml:space="preserve">нефти в ближайшей перспективе не ожидается. </w:t>
      </w:r>
      <w:r w:rsidR="00260E9D" w:rsidRPr="006218A3">
        <w:rPr>
          <w:rFonts w:ascii="Arial" w:hAnsi="Arial" w:cs="Arial"/>
          <w:bCs/>
        </w:rPr>
        <w:t>Так</w:t>
      </w:r>
      <w:r w:rsidR="00F37B41" w:rsidRPr="006218A3">
        <w:rPr>
          <w:rFonts w:ascii="Arial" w:hAnsi="Arial" w:cs="Arial"/>
          <w:bCs/>
        </w:rPr>
        <w:t xml:space="preserve">им образом, </w:t>
      </w:r>
      <w:r w:rsidR="00512052" w:rsidRPr="006218A3">
        <w:rPr>
          <w:rFonts w:ascii="Arial" w:hAnsi="Arial" w:cs="Arial"/>
          <w:bCs/>
        </w:rPr>
        <w:t xml:space="preserve">госбюджет </w:t>
      </w:r>
      <w:r w:rsidR="00C5398F" w:rsidRPr="006218A3">
        <w:rPr>
          <w:rFonts w:ascii="Arial" w:hAnsi="Arial" w:cs="Arial"/>
          <w:bCs/>
        </w:rPr>
        <w:t xml:space="preserve">после значительного </w:t>
      </w:r>
      <w:r w:rsidR="009170A9" w:rsidRPr="006218A3">
        <w:rPr>
          <w:rFonts w:ascii="Arial" w:hAnsi="Arial" w:cs="Arial"/>
          <w:bCs/>
        </w:rPr>
        <w:t xml:space="preserve">периода </w:t>
      </w:r>
      <w:r w:rsidR="00443FA0" w:rsidRPr="006218A3">
        <w:rPr>
          <w:rFonts w:ascii="Arial" w:hAnsi="Arial" w:cs="Arial"/>
          <w:bCs/>
        </w:rPr>
        <w:t xml:space="preserve">профицита </w:t>
      </w:r>
      <w:r w:rsidR="00512052" w:rsidRPr="006218A3">
        <w:rPr>
          <w:rFonts w:ascii="Arial" w:hAnsi="Arial" w:cs="Arial"/>
          <w:bCs/>
        </w:rPr>
        <w:t xml:space="preserve">в </w:t>
      </w:r>
      <w:r w:rsidR="00443FA0" w:rsidRPr="006218A3">
        <w:rPr>
          <w:rFonts w:ascii="Arial" w:hAnsi="Arial" w:cs="Arial"/>
          <w:bCs/>
        </w:rPr>
        <w:t xml:space="preserve">2000-2008 и 2011-2014 гг. и дефицита в 2015-2016 гг. </w:t>
      </w:r>
      <w:r w:rsidR="009170A9" w:rsidRPr="006218A3">
        <w:rPr>
          <w:rFonts w:ascii="Arial" w:hAnsi="Arial" w:cs="Arial"/>
          <w:bCs/>
        </w:rPr>
        <w:t xml:space="preserve">в </w:t>
      </w:r>
      <w:r w:rsidR="00512052" w:rsidRPr="006218A3">
        <w:rPr>
          <w:rFonts w:ascii="Arial" w:hAnsi="Arial" w:cs="Arial"/>
          <w:bCs/>
        </w:rPr>
        <w:t>течение 2017-2018 гг.</w:t>
      </w:r>
      <w:r w:rsidR="00D65C12" w:rsidRPr="006218A3">
        <w:rPr>
          <w:rFonts w:ascii="Arial" w:hAnsi="Arial" w:cs="Arial"/>
          <w:bCs/>
        </w:rPr>
        <w:t xml:space="preserve"> </w:t>
      </w:r>
      <w:r w:rsidR="00274C9D" w:rsidRPr="006218A3">
        <w:rPr>
          <w:rFonts w:ascii="Arial" w:hAnsi="Arial" w:cs="Arial"/>
          <w:bCs/>
        </w:rPr>
        <w:t xml:space="preserve">будет испытывать трудности, </w:t>
      </w:r>
      <w:r w:rsidR="00336E3E">
        <w:rPr>
          <w:rFonts w:ascii="Arial" w:hAnsi="Arial" w:cs="Arial"/>
          <w:bCs/>
        </w:rPr>
        <w:t>однако</w:t>
      </w:r>
      <w:r w:rsidR="00B95538" w:rsidRPr="006218A3">
        <w:rPr>
          <w:rFonts w:ascii="Arial" w:hAnsi="Arial" w:cs="Arial"/>
          <w:bCs/>
        </w:rPr>
        <w:t xml:space="preserve"> сопоставимые с другими странами</w:t>
      </w:r>
      <w:r w:rsidR="00274C9D" w:rsidRPr="006218A3">
        <w:rPr>
          <w:rFonts w:ascii="Arial" w:hAnsi="Arial" w:cs="Arial"/>
          <w:bCs/>
        </w:rPr>
        <w:t xml:space="preserve">. Для сравнения, в 2016 году </w:t>
      </w:r>
      <w:r w:rsidR="0058641E" w:rsidRPr="006218A3">
        <w:rPr>
          <w:rFonts w:ascii="Arial" w:hAnsi="Arial" w:cs="Arial"/>
          <w:bCs/>
        </w:rPr>
        <w:t>д</w:t>
      </w:r>
      <w:r w:rsidR="00B95538" w:rsidRPr="006218A3">
        <w:rPr>
          <w:rFonts w:ascii="Arial" w:hAnsi="Arial" w:cs="Arial"/>
          <w:bCs/>
        </w:rPr>
        <w:t xml:space="preserve">ефицит бюджета </w:t>
      </w:r>
      <w:r w:rsidR="00512052" w:rsidRPr="006218A3">
        <w:rPr>
          <w:rFonts w:ascii="Arial" w:hAnsi="Arial" w:cs="Arial"/>
          <w:bCs/>
        </w:rPr>
        <w:t xml:space="preserve">России </w:t>
      </w:r>
      <w:r w:rsidR="00274C9D" w:rsidRPr="006218A3">
        <w:rPr>
          <w:rFonts w:ascii="Arial" w:hAnsi="Arial" w:cs="Arial"/>
          <w:bCs/>
        </w:rPr>
        <w:t xml:space="preserve">- </w:t>
      </w:r>
      <w:r w:rsidR="00512052" w:rsidRPr="006218A3">
        <w:rPr>
          <w:rFonts w:ascii="Arial" w:hAnsi="Arial" w:cs="Arial"/>
          <w:bCs/>
        </w:rPr>
        <w:t xml:space="preserve">3,5%, </w:t>
      </w:r>
      <w:r w:rsidR="00B95538" w:rsidRPr="006218A3">
        <w:rPr>
          <w:rFonts w:ascii="Arial" w:hAnsi="Arial" w:cs="Arial"/>
          <w:bCs/>
        </w:rPr>
        <w:t>США</w:t>
      </w:r>
      <w:r w:rsidR="00512052" w:rsidRPr="006218A3">
        <w:rPr>
          <w:rFonts w:ascii="Arial" w:hAnsi="Arial" w:cs="Arial"/>
          <w:bCs/>
        </w:rPr>
        <w:t xml:space="preserve"> –</w:t>
      </w:r>
      <w:r w:rsidR="00E31448" w:rsidRPr="006218A3">
        <w:rPr>
          <w:rFonts w:ascii="Arial" w:hAnsi="Arial" w:cs="Arial"/>
          <w:bCs/>
        </w:rPr>
        <w:t xml:space="preserve"> 3</w:t>
      </w:r>
      <w:r w:rsidR="00512052" w:rsidRPr="006218A3">
        <w:rPr>
          <w:rFonts w:ascii="Arial" w:hAnsi="Arial" w:cs="Arial"/>
          <w:bCs/>
        </w:rPr>
        <w:t>,</w:t>
      </w:r>
      <w:r w:rsidR="00E31448" w:rsidRPr="006218A3">
        <w:rPr>
          <w:rFonts w:ascii="Arial" w:hAnsi="Arial" w:cs="Arial"/>
          <w:bCs/>
        </w:rPr>
        <w:t>2</w:t>
      </w:r>
      <w:r w:rsidR="00512052" w:rsidRPr="006218A3">
        <w:rPr>
          <w:rFonts w:ascii="Arial" w:hAnsi="Arial" w:cs="Arial"/>
          <w:bCs/>
        </w:rPr>
        <w:t>%,</w:t>
      </w:r>
      <w:r w:rsidR="00274C9D" w:rsidRPr="006218A3">
        <w:rPr>
          <w:rFonts w:ascii="Arial" w:hAnsi="Arial" w:cs="Arial"/>
          <w:bCs/>
        </w:rPr>
        <w:t xml:space="preserve"> Китая -</w:t>
      </w:r>
      <w:r w:rsidR="00B95538" w:rsidRPr="006218A3">
        <w:rPr>
          <w:rFonts w:ascii="Arial" w:hAnsi="Arial" w:cs="Arial"/>
          <w:bCs/>
        </w:rPr>
        <w:t xml:space="preserve"> </w:t>
      </w:r>
      <w:r w:rsidR="00512052" w:rsidRPr="006218A3">
        <w:rPr>
          <w:rFonts w:ascii="Arial" w:hAnsi="Arial" w:cs="Arial"/>
          <w:bCs/>
        </w:rPr>
        <w:t xml:space="preserve">3 %, </w:t>
      </w:r>
      <w:r w:rsidR="00274C9D" w:rsidRPr="006218A3">
        <w:rPr>
          <w:rFonts w:ascii="Arial" w:hAnsi="Arial" w:cs="Arial"/>
          <w:bCs/>
        </w:rPr>
        <w:t>Японии – 6,4 % (2015), Франции - 4,0% (2015), Великобритании – 4,4% (2015).</w:t>
      </w:r>
    </w:p>
    <w:p w:rsidR="00FD0676" w:rsidRPr="006218A3" w:rsidRDefault="00274C9D" w:rsidP="00D65C12">
      <w:pPr>
        <w:pStyle w:val="a3"/>
        <w:numPr>
          <w:ilvl w:val="0"/>
          <w:numId w:val="3"/>
        </w:numPr>
        <w:spacing w:line="240" w:lineRule="auto"/>
        <w:ind w:hanging="219"/>
        <w:jc w:val="both"/>
        <w:rPr>
          <w:rFonts w:ascii="Arial" w:hAnsi="Arial" w:cs="Arial"/>
          <w:bCs/>
        </w:rPr>
      </w:pPr>
      <w:r w:rsidRPr="006218A3">
        <w:rPr>
          <w:rFonts w:ascii="Arial" w:hAnsi="Arial" w:cs="Arial"/>
          <w:bCs/>
        </w:rPr>
        <w:t>Техническая и консультационная поддержка</w:t>
      </w:r>
      <w:r w:rsidR="00FD0676" w:rsidRPr="006218A3">
        <w:rPr>
          <w:rFonts w:ascii="Arial" w:hAnsi="Arial" w:cs="Arial"/>
          <w:bCs/>
        </w:rPr>
        <w:t xml:space="preserve"> Сирии</w:t>
      </w:r>
      <w:r w:rsidRPr="006218A3">
        <w:rPr>
          <w:rFonts w:ascii="Arial" w:hAnsi="Arial" w:cs="Arial"/>
          <w:bCs/>
        </w:rPr>
        <w:t xml:space="preserve"> в борьбе</w:t>
      </w:r>
      <w:r w:rsidR="00FD0676" w:rsidRPr="006218A3">
        <w:rPr>
          <w:rFonts w:ascii="Arial" w:hAnsi="Arial" w:cs="Arial"/>
          <w:bCs/>
        </w:rPr>
        <w:t xml:space="preserve"> против </w:t>
      </w:r>
      <w:r w:rsidRPr="006218A3">
        <w:rPr>
          <w:rFonts w:ascii="Arial" w:hAnsi="Arial" w:cs="Arial"/>
          <w:bCs/>
        </w:rPr>
        <w:t>террористических группировок</w:t>
      </w:r>
      <w:r w:rsidR="00FD0676" w:rsidRPr="006218A3">
        <w:rPr>
          <w:rFonts w:ascii="Arial" w:hAnsi="Arial" w:cs="Arial"/>
          <w:bCs/>
        </w:rPr>
        <w:t xml:space="preserve">, </w:t>
      </w:r>
      <w:r w:rsidRPr="006218A3">
        <w:rPr>
          <w:rFonts w:ascii="Arial" w:hAnsi="Arial" w:cs="Arial"/>
          <w:bCs/>
        </w:rPr>
        <w:t>порождённых и вскормленных</w:t>
      </w:r>
      <w:r w:rsidR="00FD0676" w:rsidRPr="006218A3">
        <w:rPr>
          <w:rFonts w:ascii="Arial" w:hAnsi="Arial" w:cs="Arial"/>
          <w:bCs/>
        </w:rPr>
        <w:t xml:space="preserve"> политикой Запада в Африке и на Ближнем Востоке, </w:t>
      </w:r>
      <w:r w:rsidRPr="006218A3">
        <w:rPr>
          <w:rFonts w:ascii="Arial" w:hAnsi="Arial" w:cs="Arial"/>
          <w:bCs/>
        </w:rPr>
        <w:t>позволили освободить население и подавляющую часть территории страны</w:t>
      </w:r>
      <w:r w:rsidR="00C50B0B" w:rsidRPr="006218A3">
        <w:rPr>
          <w:rFonts w:ascii="Arial" w:hAnsi="Arial" w:cs="Arial"/>
          <w:bCs/>
        </w:rPr>
        <w:t>, а также заставить лидеров оппозиционных сил мирно решать политические вопросы. Уничтожение экстремистских и бандитских формирований</w:t>
      </w:r>
      <w:r w:rsidR="00FD0676" w:rsidRPr="006218A3">
        <w:rPr>
          <w:rFonts w:ascii="Arial" w:hAnsi="Arial" w:cs="Arial"/>
          <w:bCs/>
        </w:rPr>
        <w:t xml:space="preserve"> позвол</w:t>
      </w:r>
      <w:r w:rsidR="00C50B0B" w:rsidRPr="006218A3">
        <w:rPr>
          <w:rFonts w:ascii="Arial" w:hAnsi="Arial" w:cs="Arial"/>
          <w:bCs/>
        </w:rPr>
        <w:t>или</w:t>
      </w:r>
      <w:r w:rsidR="00FD0676" w:rsidRPr="006218A3">
        <w:rPr>
          <w:rFonts w:ascii="Arial" w:hAnsi="Arial" w:cs="Arial"/>
          <w:bCs/>
        </w:rPr>
        <w:t xml:space="preserve"> России не </w:t>
      </w:r>
      <w:r w:rsidR="00C50B0B" w:rsidRPr="006218A3">
        <w:rPr>
          <w:rFonts w:ascii="Arial" w:hAnsi="Arial" w:cs="Arial"/>
          <w:bCs/>
        </w:rPr>
        <w:t>допустить их до своих границ</w:t>
      </w:r>
      <w:r w:rsidR="00FD0676" w:rsidRPr="006218A3">
        <w:rPr>
          <w:rFonts w:ascii="Arial" w:hAnsi="Arial" w:cs="Arial"/>
          <w:bCs/>
        </w:rPr>
        <w:t xml:space="preserve">, </w:t>
      </w:r>
      <w:r w:rsidR="00C50B0B" w:rsidRPr="006218A3">
        <w:rPr>
          <w:rFonts w:ascii="Arial" w:hAnsi="Arial" w:cs="Arial"/>
          <w:bCs/>
        </w:rPr>
        <w:t>а также утвердить своё безоговорочное влияние в важнейшем регионе мира.</w:t>
      </w:r>
      <w:r w:rsidR="00FD0676" w:rsidRPr="006218A3">
        <w:rPr>
          <w:rFonts w:ascii="Arial" w:hAnsi="Arial" w:cs="Arial"/>
          <w:bCs/>
        </w:rPr>
        <w:t xml:space="preserve"> Это </w:t>
      </w:r>
      <w:r w:rsidR="00C50B0B" w:rsidRPr="006218A3">
        <w:rPr>
          <w:rFonts w:ascii="Arial" w:hAnsi="Arial" w:cs="Arial"/>
          <w:bCs/>
        </w:rPr>
        <w:t>обеспечивает нам хорошую переговорную позицию в решении всех мировых проблем и, как следствие, - задач собственной экономики</w:t>
      </w:r>
      <w:r w:rsidR="00FD0676" w:rsidRPr="006218A3">
        <w:rPr>
          <w:rFonts w:ascii="Arial" w:hAnsi="Arial" w:cs="Arial"/>
          <w:bCs/>
        </w:rPr>
        <w:t>;</w:t>
      </w:r>
    </w:p>
    <w:p w:rsidR="00C43D5C" w:rsidRPr="00823AD4" w:rsidRDefault="00FD0676" w:rsidP="00823AD4">
      <w:pPr>
        <w:pStyle w:val="a3"/>
        <w:numPr>
          <w:ilvl w:val="0"/>
          <w:numId w:val="3"/>
        </w:numPr>
        <w:spacing w:line="240" w:lineRule="auto"/>
        <w:ind w:hanging="219"/>
        <w:jc w:val="both"/>
        <w:rPr>
          <w:rFonts w:ascii="Arial" w:hAnsi="Arial" w:cs="Arial"/>
          <w:bCs/>
        </w:rPr>
      </w:pPr>
      <w:r w:rsidRPr="006218A3">
        <w:rPr>
          <w:rFonts w:ascii="Arial" w:hAnsi="Arial" w:cs="Arial"/>
          <w:bCs/>
        </w:rPr>
        <w:t xml:space="preserve">В условиях нарастающей </w:t>
      </w:r>
      <w:r w:rsidR="00AC7DE4" w:rsidRPr="006218A3">
        <w:rPr>
          <w:rFonts w:ascii="Arial" w:hAnsi="Arial" w:cs="Arial"/>
          <w:bCs/>
        </w:rPr>
        <w:t xml:space="preserve">экономической </w:t>
      </w:r>
      <w:r w:rsidRPr="006218A3">
        <w:rPr>
          <w:rFonts w:ascii="Arial" w:hAnsi="Arial" w:cs="Arial"/>
          <w:bCs/>
        </w:rPr>
        <w:t xml:space="preserve">конкуренции и сокращающихся сырьевых ресурсов происходят </w:t>
      </w:r>
      <w:r w:rsidR="00C50B0B" w:rsidRPr="006218A3">
        <w:rPr>
          <w:rFonts w:ascii="Arial" w:hAnsi="Arial" w:cs="Arial"/>
          <w:bCs/>
        </w:rPr>
        <w:t xml:space="preserve">сложные </w:t>
      </w:r>
      <w:r w:rsidRPr="006218A3">
        <w:rPr>
          <w:rFonts w:ascii="Arial" w:hAnsi="Arial" w:cs="Arial"/>
          <w:bCs/>
        </w:rPr>
        <w:t xml:space="preserve">политические события, которые </w:t>
      </w:r>
      <w:r w:rsidR="00AC7DE4" w:rsidRPr="006218A3">
        <w:rPr>
          <w:rFonts w:ascii="Arial" w:hAnsi="Arial" w:cs="Arial"/>
          <w:bCs/>
        </w:rPr>
        <w:t xml:space="preserve">неизбежно </w:t>
      </w:r>
      <w:r w:rsidRPr="006218A3">
        <w:rPr>
          <w:rFonts w:ascii="Arial" w:hAnsi="Arial" w:cs="Arial"/>
          <w:bCs/>
        </w:rPr>
        <w:t xml:space="preserve">ведут к </w:t>
      </w:r>
      <w:r w:rsidR="00AC7DE4" w:rsidRPr="006218A3">
        <w:rPr>
          <w:rFonts w:ascii="Arial" w:hAnsi="Arial" w:cs="Arial"/>
          <w:bCs/>
        </w:rPr>
        <w:t xml:space="preserve">острым конфликтам и </w:t>
      </w:r>
      <w:r w:rsidRPr="006218A3">
        <w:rPr>
          <w:rFonts w:ascii="Arial" w:hAnsi="Arial" w:cs="Arial"/>
          <w:bCs/>
        </w:rPr>
        <w:t xml:space="preserve">кардинальному изменению мировой политической и экономической конъюнктуры – ослаблению абсолютного доминирования Запада и упрочению позиций России, Китая, Индии, Ирана и других </w:t>
      </w:r>
      <w:r w:rsidR="00AC7DE4" w:rsidRPr="006218A3">
        <w:rPr>
          <w:rFonts w:ascii="Arial" w:hAnsi="Arial" w:cs="Arial"/>
          <w:bCs/>
        </w:rPr>
        <w:t xml:space="preserve">значимых </w:t>
      </w:r>
      <w:r w:rsidRPr="006218A3">
        <w:rPr>
          <w:rFonts w:ascii="Arial" w:hAnsi="Arial" w:cs="Arial"/>
          <w:bCs/>
        </w:rPr>
        <w:t>стран</w:t>
      </w:r>
      <w:r w:rsidR="00AC7DE4" w:rsidRPr="006218A3">
        <w:rPr>
          <w:rFonts w:ascii="Arial" w:hAnsi="Arial" w:cs="Arial"/>
          <w:bCs/>
        </w:rPr>
        <w:t>.</w:t>
      </w:r>
      <w:r w:rsidR="00823AD4">
        <w:rPr>
          <w:rFonts w:ascii="Arial" w:hAnsi="Arial" w:cs="Arial"/>
          <w:bCs/>
        </w:rPr>
        <w:t xml:space="preserve"> </w:t>
      </w:r>
      <w:r w:rsidR="00AC7DE4" w:rsidRPr="00823AD4">
        <w:rPr>
          <w:rFonts w:ascii="Arial" w:hAnsi="Arial" w:cs="Arial"/>
          <w:bCs/>
        </w:rPr>
        <w:t xml:space="preserve">Нарастающие экономические, социальные и политические противоречия в </w:t>
      </w:r>
      <w:r w:rsidRPr="00823AD4">
        <w:rPr>
          <w:rFonts w:ascii="Arial" w:hAnsi="Arial" w:cs="Arial"/>
          <w:bCs/>
        </w:rPr>
        <w:t>стран</w:t>
      </w:r>
      <w:r w:rsidR="00AC7DE4" w:rsidRPr="00823AD4">
        <w:rPr>
          <w:rFonts w:ascii="Arial" w:hAnsi="Arial" w:cs="Arial"/>
          <w:bCs/>
        </w:rPr>
        <w:t>ах</w:t>
      </w:r>
      <w:r w:rsidRPr="00823AD4">
        <w:rPr>
          <w:rFonts w:ascii="Arial" w:hAnsi="Arial" w:cs="Arial"/>
          <w:bCs/>
        </w:rPr>
        <w:t xml:space="preserve"> Запада (США, Франции, Ит</w:t>
      </w:r>
      <w:r w:rsidR="00AC7DE4" w:rsidRPr="00823AD4">
        <w:rPr>
          <w:rFonts w:ascii="Arial" w:hAnsi="Arial" w:cs="Arial"/>
          <w:bCs/>
        </w:rPr>
        <w:t>алии, Германии, Великобритании)</w:t>
      </w:r>
      <w:r w:rsidRPr="00823AD4">
        <w:rPr>
          <w:rFonts w:ascii="Arial" w:hAnsi="Arial" w:cs="Arial"/>
          <w:bCs/>
        </w:rPr>
        <w:t xml:space="preserve"> </w:t>
      </w:r>
      <w:r w:rsidR="00AC7DE4" w:rsidRPr="00823AD4">
        <w:rPr>
          <w:rFonts w:ascii="Arial" w:hAnsi="Arial" w:cs="Arial"/>
          <w:bCs/>
        </w:rPr>
        <w:t>демонстрируют</w:t>
      </w:r>
      <w:r w:rsidRPr="00823AD4">
        <w:rPr>
          <w:rFonts w:ascii="Arial" w:hAnsi="Arial" w:cs="Arial"/>
          <w:bCs/>
        </w:rPr>
        <w:t xml:space="preserve"> серьёзные внут</w:t>
      </w:r>
      <w:r w:rsidR="00AC7DE4" w:rsidRPr="00823AD4">
        <w:rPr>
          <w:rFonts w:ascii="Arial" w:hAnsi="Arial" w:cs="Arial"/>
          <w:bCs/>
        </w:rPr>
        <w:t>ренние проблемы западного мира</w:t>
      </w:r>
      <w:r w:rsidR="00ED410F" w:rsidRPr="00823AD4">
        <w:rPr>
          <w:rFonts w:ascii="Arial" w:hAnsi="Arial" w:cs="Arial"/>
          <w:bCs/>
        </w:rPr>
        <w:t xml:space="preserve"> и негативно отражаются на остальных странах.</w:t>
      </w:r>
      <w:r w:rsidRPr="00823AD4">
        <w:rPr>
          <w:rFonts w:ascii="Arial" w:hAnsi="Arial" w:cs="Arial"/>
          <w:bCs/>
        </w:rPr>
        <w:t xml:space="preserve"> «Евромайдан» и политика Запада, направленные на ослабление России, привели к внутриукраинскому военному конфликту, резкому снижению доходов, к маргинализации и фашизации украинского общества. </w:t>
      </w:r>
      <w:r w:rsidR="00ED410F" w:rsidRPr="00823AD4">
        <w:rPr>
          <w:rFonts w:ascii="Arial" w:hAnsi="Arial" w:cs="Arial"/>
          <w:bCs/>
        </w:rPr>
        <w:t>Непрекращающиеся</w:t>
      </w:r>
      <w:r w:rsidRPr="00823AD4">
        <w:rPr>
          <w:rFonts w:ascii="Arial" w:hAnsi="Arial" w:cs="Arial"/>
          <w:bCs/>
        </w:rPr>
        <w:t xml:space="preserve"> обстрелы </w:t>
      </w:r>
      <w:r w:rsidR="00ED410F" w:rsidRPr="00823AD4">
        <w:rPr>
          <w:rFonts w:ascii="Arial" w:hAnsi="Arial" w:cs="Arial"/>
          <w:bCs/>
        </w:rPr>
        <w:t xml:space="preserve">со стороны ВСУ и бандформирований Украины </w:t>
      </w:r>
      <w:r w:rsidRPr="00823AD4">
        <w:rPr>
          <w:rFonts w:ascii="Arial" w:hAnsi="Arial" w:cs="Arial"/>
          <w:bCs/>
        </w:rPr>
        <w:t>жилых кварталов</w:t>
      </w:r>
      <w:r w:rsidR="005E1A33" w:rsidRPr="00823AD4">
        <w:rPr>
          <w:rFonts w:ascii="Arial" w:hAnsi="Arial" w:cs="Arial"/>
          <w:bCs/>
        </w:rPr>
        <w:t>,</w:t>
      </w:r>
      <w:r w:rsidRPr="00823AD4">
        <w:rPr>
          <w:rFonts w:ascii="Arial" w:hAnsi="Arial" w:cs="Arial"/>
          <w:bCs/>
        </w:rPr>
        <w:t xml:space="preserve"> </w:t>
      </w:r>
      <w:r w:rsidR="005E1A33" w:rsidRPr="00823AD4">
        <w:rPr>
          <w:rFonts w:ascii="Arial" w:hAnsi="Arial" w:cs="Arial"/>
          <w:bCs/>
        </w:rPr>
        <w:t xml:space="preserve">блокада железных дорог, захват водообеспечивающих объектов </w:t>
      </w:r>
      <w:r w:rsidRPr="00823AD4">
        <w:rPr>
          <w:rFonts w:ascii="Arial" w:hAnsi="Arial" w:cs="Arial"/>
          <w:bCs/>
        </w:rPr>
        <w:t>Донецка и</w:t>
      </w:r>
      <w:r w:rsidR="00ED410F" w:rsidRPr="00823AD4">
        <w:rPr>
          <w:rFonts w:ascii="Arial" w:hAnsi="Arial" w:cs="Arial"/>
          <w:bCs/>
        </w:rPr>
        <w:t xml:space="preserve"> Луганска </w:t>
      </w:r>
      <w:r w:rsidRPr="00823AD4">
        <w:rPr>
          <w:rFonts w:ascii="Arial" w:hAnsi="Arial" w:cs="Arial"/>
          <w:bCs/>
        </w:rPr>
        <w:t>чреваты резким обострением и разрастанием гражданской войны</w:t>
      </w:r>
      <w:r w:rsidR="005E1A33" w:rsidRPr="00823AD4">
        <w:rPr>
          <w:rFonts w:ascii="Arial" w:hAnsi="Arial" w:cs="Arial"/>
          <w:bCs/>
        </w:rPr>
        <w:t xml:space="preserve"> на Украине</w:t>
      </w:r>
      <w:r w:rsidR="00C43D5C" w:rsidRPr="00823AD4">
        <w:rPr>
          <w:rFonts w:ascii="Arial" w:hAnsi="Arial" w:cs="Arial"/>
          <w:bCs/>
        </w:rPr>
        <w:t>.</w:t>
      </w:r>
    </w:p>
    <w:p w:rsidR="00C43D5C" w:rsidRPr="006218A3" w:rsidRDefault="00823AD4" w:rsidP="00C43D5C">
      <w:pPr>
        <w:pStyle w:val="a3"/>
        <w:spacing w:before="240"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</w:t>
      </w:r>
      <w:r w:rsidR="00C43D5C" w:rsidRPr="006218A3">
        <w:rPr>
          <w:rFonts w:ascii="Arial" w:hAnsi="Arial" w:cs="Arial"/>
          <w:bCs/>
        </w:rPr>
        <w:t>В условиях обостряющ</w:t>
      </w:r>
      <w:r w:rsidR="00D22D74" w:rsidRPr="006218A3">
        <w:rPr>
          <w:rFonts w:ascii="Arial" w:hAnsi="Arial" w:cs="Arial"/>
          <w:bCs/>
        </w:rPr>
        <w:t>ей</w:t>
      </w:r>
      <w:r w:rsidR="00C43D5C" w:rsidRPr="006218A3">
        <w:rPr>
          <w:rFonts w:ascii="Arial" w:hAnsi="Arial" w:cs="Arial"/>
          <w:bCs/>
        </w:rPr>
        <w:t>ся</w:t>
      </w:r>
      <w:r w:rsidR="005E1A33" w:rsidRPr="006218A3">
        <w:rPr>
          <w:rFonts w:ascii="Arial" w:hAnsi="Arial" w:cs="Arial"/>
          <w:bCs/>
        </w:rPr>
        <w:t xml:space="preserve"> между</w:t>
      </w:r>
      <w:r w:rsidR="00D22D74" w:rsidRPr="006218A3">
        <w:rPr>
          <w:rFonts w:ascii="Arial" w:hAnsi="Arial" w:cs="Arial"/>
          <w:bCs/>
        </w:rPr>
        <w:t>народной обстановки Россия настойчиво ведёт</w:t>
      </w:r>
      <w:r w:rsidR="005E1A33" w:rsidRPr="006218A3">
        <w:rPr>
          <w:rFonts w:ascii="Arial" w:hAnsi="Arial" w:cs="Arial"/>
          <w:bCs/>
        </w:rPr>
        <w:t xml:space="preserve"> работу</w:t>
      </w:r>
      <w:r w:rsidR="00B62F99" w:rsidRPr="006218A3">
        <w:rPr>
          <w:rFonts w:ascii="Arial" w:hAnsi="Arial" w:cs="Arial"/>
          <w:bCs/>
        </w:rPr>
        <w:t xml:space="preserve"> в </w:t>
      </w:r>
      <w:r w:rsidR="00ED410F" w:rsidRPr="006218A3">
        <w:rPr>
          <w:rFonts w:ascii="Arial" w:hAnsi="Arial" w:cs="Arial"/>
          <w:bCs/>
        </w:rPr>
        <w:t xml:space="preserve">форматах </w:t>
      </w:r>
      <w:r w:rsidR="00B62F99" w:rsidRPr="006218A3">
        <w:rPr>
          <w:rFonts w:ascii="Arial" w:hAnsi="Arial" w:cs="Arial"/>
          <w:bCs/>
        </w:rPr>
        <w:t>двухсторонних отношений</w:t>
      </w:r>
      <w:r w:rsidR="00ED410F" w:rsidRPr="006218A3">
        <w:rPr>
          <w:rFonts w:ascii="Arial" w:hAnsi="Arial" w:cs="Arial"/>
          <w:bCs/>
        </w:rPr>
        <w:t xml:space="preserve">. </w:t>
      </w:r>
      <w:r w:rsidR="00124557" w:rsidRPr="006218A3">
        <w:rPr>
          <w:rFonts w:ascii="Arial" w:hAnsi="Arial" w:cs="Arial"/>
          <w:bCs/>
        </w:rPr>
        <w:t>Последние н</w:t>
      </w:r>
      <w:r w:rsidR="00ED410F" w:rsidRPr="006218A3">
        <w:rPr>
          <w:rFonts w:ascii="Arial" w:hAnsi="Arial" w:cs="Arial"/>
          <w:bCs/>
        </w:rPr>
        <w:t xml:space="preserve">аиболее крупные </w:t>
      </w:r>
      <w:r w:rsidR="00124557" w:rsidRPr="006218A3">
        <w:rPr>
          <w:rFonts w:ascii="Arial" w:hAnsi="Arial" w:cs="Arial"/>
          <w:bCs/>
        </w:rPr>
        <w:t xml:space="preserve">перспективные </w:t>
      </w:r>
      <w:r w:rsidR="00ED410F" w:rsidRPr="006218A3">
        <w:rPr>
          <w:rFonts w:ascii="Arial" w:hAnsi="Arial" w:cs="Arial"/>
          <w:bCs/>
        </w:rPr>
        <w:t>проекты и международные договоры</w:t>
      </w:r>
      <w:r w:rsidR="00C43D5C" w:rsidRPr="006218A3">
        <w:rPr>
          <w:rFonts w:ascii="Arial" w:hAnsi="Arial" w:cs="Arial"/>
          <w:bCs/>
        </w:rPr>
        <w:t>:</w:t>
      </w:r>
      <w:r w:rsidR="005E1A33" w:rsidRPr="006218A3">
        <w:rPr>
          <w:rFonts w:ascii="Arial" w:hAnsi="Arial" w:cs="Arial"/>
          <w:bCs/>
        </w:rPr>
        <w:t xml:space="preserve"> </w:t>
      </w:r>
    </w:p>
    <w:p w:rsidR="00FD0676" w:rsidRPr="006218A3" w:rsidRDefault="00FD0676" w:rsidP="005E1A33">
      <w:pPr>
        <w:pStyle w:val="a3"/>
        <w:numPr>
          <w:ilvl w:val="0"/>
          <w:numId w:val="3"/>
        </w:numPr>
        <w:spacing w:line="240" w:lineRule="auto"/>
        <w:ind w:hanging="219"/>
        <w:jc w:val="both"/>
        <w:rPr>
          <w:rFonts w:ascii="Arial" w:hAnsi="Arial" w:cs="Arial"/>
          <w:bCs/>
        </w:rPr>
      </w:pPr>
      <w:proofErr w:type="gramStart"/>
      <w:r w:rsidRPr="006218A3">
        <w:rPr>
          <w:rFonts w:ascii="Arial" w:hAnsi="Arial" w:cs="Arial"/>
          <w:bCs/>
        </w:rPr>
        <w:t xml:space="preserve">Заключён ряд соглашений между Россией и Японией в части: </w:t>
      </w:r>
      <w:r w:rsidR="00D22D74" w:rsidRPr="006218A3">
        <w:rPr>
          <w:rFonts w:ascii="Arial" w:hAnsi="Arial" w:cs="Arial"/>
          <w:bCs/>
        </w:rPr>
        <w:t xml:space="preserve">разведки и добычи углеводородов, </w:t>
      </w:r>
      <w:r w:rsidRPr="006218A3">
        <w:rPr>
          <w:rFonts w:ascii="Arial" w:hAnsi="Arial" w:cs="Arial"/>
          <w:bCs/>
        </w:rPr>
        <w:t>развития железнодорожного транзита по территории России, строительства газохимического комплекса, открытия на Дальнем Востоке ряда высокотехнологичных производств (медицинского оборудования, фармпродукции, ветрогенераторов</w:t>
      </w:r>
      <w:r w:rsidR="00D22D74" w:rsidRPr="006218A3">
        <w:rPr>
          <w:rFonts w:ascii="Arial" w:hAnsi="Arial" w:cs="Arial"/>
          <w:bCs/>
        </w:rPr>
        <w:t xml:space="preserve"> и другой продукции</w:t>
      </w:r>
      <w:r w:rsidRPr="006218A3">
        <w:rPr>
          <w:rFonts w:ascii="Arial" w:hAnsi="Arial" w:cs="Arial"/>
          <w:bCs/>
        </w:rPr>
        <w:t>), развития кредитования и внедрения современных технологий в сельскохозяйственном секторе, взаимодействия по вопросам развития малого и среднего бизнеса.</w:t>
      </w:r>
      <w:proofErr w:type="gramEnd"/>
      <w:r w:rsidRPr="006218A3">
        <w:rPr>
          <w:rFonts w:ascii="Arial" w:hAnsi="Arial" w:cs="Arial"/>
          <w:bCs/>
        </w:rPr>
        <w:t xml:space="preserve"> Договорились об упрощении визового режима;</w:t>
      </w:r>
    </w:p>
    <w:p w:rsidR="00FD0676" w:rsidRPr="006218A3" w:rsidRDefault="00C43D5C" w:rsidP="00D65C12">
      <w:pPr>
        <w:pStyle w:val="a3"/>
        <w:numPr>
          <w:ilvl w:val="0"/>
          <w:numId w:val="3"/>
        </w:numPr>
        <w:spacing w:line="240" w:lineRule="auto"/>
        <w:ind w:hanging="219"/>
        <w:jc w:val="both"/>
        <w:rPr>
          <w:rFonts w:ascii="Arial" w:hAnsi="Arial" w:cs="Arial"/>
          <w:bCs/>
        </w:rPr>
      </w:pPr>
      <w:r w:rsidRPr="006218A3">
        <w:rPr>
          <w:rFonts w:ascii="Arial" w:hAnsi="Arial" w:cs="Arial"/>
          <w:bCs/>
        </w:rPr>
        <w:t>Россия способствует развитию</w:t>
      </w:r>
      <w:r w:rsidR="00FD0676" w:rsidRPr="006218A3">
        <w:rPr>
          <w:rFonts w:ascii="Arial" w:hAnsi="Arial" w:cs="Arial"/>
          <w:bCs/>
        </w:rPr>
        <w:t xml:space="preserve"> проекта «Новый </w:t>
      </w:r>
      <w:r w:rsidR="00BE6032" w:rsidRPr="006218A3">
        <w:rPr>
          <w:rFonts w:ascii="Arial" w:hAnsi="Arial" w:cs="Arial"/>
          <w:bCs/>
        </w:rPr>
        <w:t>шёлковый</w:t>
      </w:r>
      <w:r w:rsidR="00FD0676" w:rsidRPr="006218A3">
        <w:rPr>
          <w:rFonts w:ascii="Arial" w:hAnsi="Arial" w:cs="Arial"/>
          <w:bCs/>
        </w:rPr>
        <w:t xml:space="preserve"> путь» из Китая в </w:t>
      </w:r>
      <w:r w:rsidRPr="006218A3">
        <w:rPr>
          <w:rFonts w:ascii="Arial" w:hAnsi="Arial" w:cs="Arial"/>
          <w:bCs/>
        </w:rPr>
        <w:t>страны Европы, что сократит время в пути и транспортные расходы, существенно увеличит товарооборот между странами</w:t>
      </w:r>
      <w:r w:rsidR="00B62F99" w:rsidRPr="006218A3">
        <w:rPr>
          <w:rFonts w:ascii="Arial" w:hAnsi="Arial" w:cs="Arial"/>
          <w:bCs/>
        </w:rPr>
        <w:t xml:space="preserve"> и поднимет экономические отношения на новый уровень.</w:t>
      </w:r>
      <w:r w:rsidR="00FD0676" w:rsidRPr="006218A3">
        <w:rPr>
          <w:rFonts w:ascii="Arial" w:hAnsi="Arial" w:cs="Arial"/>
          <w:bCs/>
        </w:rPr>
        <w:t xml:space="preserve"> Это важнейшее событие будет способствовать развитию на территории России железнодорожной </w:t>
      </w:r>
      <w:r w:rsidR="00B62F99" w:rsidRPr="006218A3">
        <w:rPr>
          <w:rFonts w:ascii="Arial" w:hAnsi="Arial" w:cs="Arial"/>
          <w:bCs/>
        </w:rPr>
        <w:t xml:space="preserve">и автодорожной </w:t>
      </w:r>
      <w:r w:rsidR="00FD0676" w:rsidRPr="006218A3">
        <w:rPr>
          <w:rFonts w:ascii="Arial" w:hAnsi="Arial" w:cs="Arial"/>
          <w:bCs/>
        </w:rPr>
        <w:t>инфраструктуры</w:t>
      </w:r>
      <w:r w:rsidR="00B62F99" w:rsidRPr="006218A3">
        <w:rPr>
          <w:rFonts w:ascii="Arial" w:hAnsi="Arial" w:cs="Arial"/>
          <w:bCs/>
        </w:rPr>
        <w:t>,</w:t>
      </w:r>
      <w:r w:rsidR="00FD0676" w:rsidRPr="006218A3">
        <w:rPr>
          <w:rFonts w:ascii="Arial" w:hAnsi="Arial" w:cs="Arial"/>
          <w:bCs/>
        </w:rPr>
        <w:t xml:space="preserve"> транзитных связей Запада и Востока;</w:t>
      </w:r>
    </w:p>
    <w:p w:rsidR="003163E8" w:rsidRPr="006218A3" w:rsidRDefault="00FD0676" w:rsidP="00D65C12">
      <w:pPr>
        <w:pStyle w:val="a3"/>
        <w:numPr>
          <w:ilvl w:val="0"/>
          <w:numId w:val="3"/>
        </w:numPr>
        <w:spacing w:line="240" w:lineRule="auto"/>
        <w:ind w:hanging="219"/>
        <w:jc w:val="both"/>
        <w:rPr>
          <w:rFonts w:ascii="Arial" w:hAnsi="Arial" w:cs="Arial"/>
          <w:bCs/>
        </w:rPr>
      </w:pPr>
      <w:r w:rsidRPr="006218A3">
        <w:rPr>
          <w:rFonts w:ascii="Arial" w:hAnsi="Arial" w:cs="Arial"/>
          <w:bCs/>
        </w:rPr>
        <w:t xml:space="preserve">Высокими темпами </w:t>
      </w:r>
      <w:r w:rsidR="00BE6032" w:rsidRPr="006218A3">
        <w:rPr>
          <w:rFonts w:ascii="Arial" w:hAnsi="Arial" w:cs="Arial"/>
          <w:bCs/>
        </w:rPr>
        <w:t>ведётся</w:t>
      </w:r>
      <w:r w:rsidRPr="006218A3">
        <w:rPr>
          <w:rFonts w:ascii="Arial" w:hAnsi="Arial" w:cs="Arial"/>
          <w:bCs/>
        </w:rPr>
        <w:t xml:space="preserve"> строительство газопровода в Китай с транзитом в другие страны Азиатско-Тихоокеанского региона. Ратифицировано соглашение о строительстве нового газопровода «Турецкий поток», который позволит России на взаимовыгодных условиях поставлять газ</w:t>
      </w:r>
      <w:r w:rsidR="00BE6032" w:rsidRPr="006218A3">
        <w:rPr>
          <w:rFonts w:ascii="Arial" w:hAnsi="Arial" w:cs="Arial"/>
          <w:bCs/>
        </w:rPr>
        <w:t xml:space="preserve"> в Турцию и юг Европы.</w:t>
      </w:r>
    </w:p>
    <w:p w:rsidR="00DE5E69" w:rsidRPr="006218A3" w:rsidRDefault="00DE5E69" w:rsidP="00D65C12">
      <w:pPr>
        <w:spacing w:before="240" w:after="0" w:line="240" w:lineRule="auto"/>
        <w:jc w:val="center"/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  <w:t>Основные экономические показатели России</w:t>
      </w:r>
    </w:p>
    <w:p w:rsidR="00DE5E69" w:rsidRPr="006218A3" w:rsidRDefault="00DE5E69" w:rsidP="00D65C1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218A3">
        <w:rPr>
          <w:rFonts w:ascii="Arial" w:eastAsia="Times New Roman" w:hAnsi="Arial" w:cs="Arial"/>
          <w:sz w:val="20"/>
          <w:szCs w:val="20"/>
          <w:lang w:eastAsia="ru-RU"/>
        </w:rPr>
        <w:t xml:space="preserve">   ВВП за 2016 г., по первой оценке Росстата, составил в текущих ценах 85 880,6 млрд. рублей, показывая положительный тренд. Индекс физического объёма ВВП и валовой добавленной стоимости по видам экономической деятельности (в постоянных ценах, </w:t>
      </w:r>
      <w:proofErr w:type="gramStart"/>
      <w:r w:rsidRPr="006218A3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6218A3">
        <w:rPr>
          <w:rFonts w:ascii="Arial" w:eastAsia="Times New Roman" w:hAnsi="Arial" w:cs="Arial"/>
          <w:sz w:val="20"/>
          <w:szCs w:val="20"/>
          <w:lang w:eastAsia="ru-RU"/>
        </w:rPr>
        <w:t xml:space="preserve"> % </w:t>
      </w:r>
      <w:proofErr w:type="gramStart"/>
      <w:r w:rsidRPr="006218A3">
        <w:rPr>
          <w:rFonts w:ascii="Arial" w:eastAsia="Times New Roman" w:hAnsi="Arial" w:cs="Arial"/>
          <w:sz w:val="20"/>
          <w:szCs w:val="20"/>
          <w:lang w:eastAsia="ru-RU"/>
        </w:rPr>
        <w:t>к</w:t>
      </w:r>
      <w:proofErr w:type="gramEnd"/>
      <w:r w:rsidRPr="006218A3">
        <w:rPr>
          <w:rFonts w:ascii="Arial" w:eastAsia="Times New Roman" w:hAnsi="Arial" w:cs="Arial"/>
          <w:sz w:val="20"/>
          <w:szCs w:val="20"/>
          <w:lang w:eastAsia="ru-RU"/>
        </w:rPr>
        <w:t xml:space="preserve"> предыдущему году):</w:t>
      </w:r>
    </w:p>
    <w:tbl>
      <w:tblPr>
        <w:tblStyle w:val="a5"/>
        <w:tblpPr w:leftFromText="180" w:rightFromText="180" w:vertAnchor="text" w:horzAnchor="margin" w:tblpXSpec="center" w:tblpY="141"/>
        <w:tblOverlap w:val="never"/>
        <w:tblW w:w="9606" w:type="dxa"/>
        <w:tblLook w:val="04A0" w:firstRow="1" w:lastRow="0" w:firstColumn="1" w:lastColumn="0" w:noHBand="0" w:noVBand="1"/>
      </w:tblPr>
      <w:tblGrid>
        <w:gridCol w:w="6135"/>
        <w:gridCol w:w="1221"/>
        <w:gridCol w:w="975"/>
        <w:gridCol w:w="1275"/>
      </w:tblGrid>
      <w:tr w:rsidR="00DE5E69" w:rsidRPr="006218A3" w:rsidTr="006B7C9A">
        <w:tc>
          <w:tcPr>
            <w:tcW w:w="6135" w:type="dxa"/>
            <w:shd w:val="clear" w:color="auto" w:fill="DAEEF3" w:themeFill="accent5" w:themeFillTint="33"/>
            <w:vAlign w:val="center"/>
            <w:hideMark/>
          </w:tcPr>
          <w:p w:rsidR="00DE5E69" w:rsidRPr="006218A3" w:rsidRDefault="00DE5E69" w:rsidP="00D65C12">
            <w:pPr>
              <w:ind w:firstLine="14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shd w:val="clear" w:color="auto" w:fill="DAEEF3" w:themeFill="accent5" w:themeFillTint="33"/>
            <w:vAlign w:val="center"/>
          </w:tcPr>
          <w:p w:rsidR="00DE5E69" w:rsidRPr="006218A3" w:rsidRDefault="00DE5E69" w:rsidP="00D65C12">
            <w:pPr>
              <w:contextualSpacing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Структура, %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:rsidR="00DE5E69" w:rsidRPr="006218A3" w:rsidRDefault="00DE5E69" w:rsidP="00D65C12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20</w:t>
            </w:r>
            <w:r w:rsidRPr="006218A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ru-RU"/>
              </w:rPr>
              <w:t>16</w:t>
            </w:r>
            <w:r w:rsidRPr="006218A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  <w:hideMark/>
          </w:tcPr>
          <w:p w:rsidR="00DE5E69" w:rsidRPr="006218A3" w:rsidRDefault="00DE5E69" w:rsidP="00D65C12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Справочно</w:t>
            </w:r>
            <w:r w:rsidRPr="006218A3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br/>
              <w:t> </w:t>
            </w:r>
            <w:r w:rsidRPr="000B663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20</w:t>
            </w:r>
            <w:r w:rsidRPr="000B663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ru-RU"/>
              </w:rPr>
              <w:t>15</w:t>
            </w:r>
            <w:r w:rsidRPr="000B663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240"/>
              <w:ind w:firstLine="1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Валовой внутренний продукт в рыночных ценах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2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24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99,8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2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97</w:t>
            </w:r>
            <w:r w:rsidRPr="0062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 w:after="100" w:afterAutospacing="1"/>
              <w:ind w:firstLine="142"/>
              <w:contextualSpacing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сельское хозяйство, охота и лесное хозяйств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3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7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218A3"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13.7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101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95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и распределение электроэнергии, газа и воды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98,8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95,1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оптовая и розничная торговля; ремонт автотранспортных средств,  мотоциклов, бытовых изделий и предметов личного пользования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91,9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95,5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99,1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right="-57"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102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94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99,5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управление и обеспечение 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 военной безопасности; социальное страхование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100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100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98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прочих коммунальных, социальных и персональных услуг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</w:tr>
    </w:tbl>
    <w:p w:rsidR="00DE5E69" w:rsidRDefault="004E0443" w:rsidP="00A6483A">
      <w:pPr>
        <w:spacing w:before="24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E0443">
        <w:rPr>
          <w:rFonts w:ascii="Arial" w:hAnsi="Arial" w:cs="Arial"/>
          <w:color w:val="000000"/>
          <w:sz w:val="20"/>
          <w:szCs w:val="20"/>
        </w:rPr>
        <w:t>– Положительная динамика после значительного снижения 2015 года.</w:t>
      </w:r>
    </w:p>
    <w:p w:rsidR="004E0443" w:rsidRPr="006218A3" w:rsidRDefault="004E0443" w:rsidP="00D65C12">
      <w:pPr>
        <w:spacing w:before="240" w:line="240" w:lineRule="auto"/>
        <w:ind w:firstLine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9E1A22" w:rsidRPr="00710437" w:rsidRDefault="00DE5E69" w:rsidP="00710437">
      <w:pPr>
        <w:spacing w:before="240" w:line="240" w:lineRule="auto"/>
        <w:ind w:firstLine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218A3">
        <w:rPr>
          <w:rFonts w:ascii="Arial" w:hAnsi="Arial" w:cs="Arial"/>
          <w:b/>
          <w:color w:val="000000"/>
          <w:sz w:val="20"/>
          <w:szCs w:val="20"/>
        </w:rPr>
        <w:t>Внешнеторговый оборот</w:t>
      </w:r>
      <w:r w:rsidRPr="006218A3">
        <w:rPr>
          <w:rFonts w:ascii="Arial" w:hAnsi="Arial" w:cs="Arial"/>
          <w:color w:val="000000"/>
          <w:sz w:val="20"/>
          <w:szCs w:val="20"/>
        </w:rPr>
        <w:t xml:space="preserve"> после существенного снижения в 2015 году с начала 2016 года также демонстрирует положительную динамику, прибавляя от месяца к месяцу не только экспорт газа и металла, но и машин и оборудования, химической продукции и удобрений, продовольствия и з</w:t>
      </w:r>
      <w:r w:rsidR="006F43E3">
        <w:rPr>
          <w:rFonts w:ascii="Arial" w:hAnsi="Arial" w:cs="Arial"/>
          <w:color w:val="000000"/>
          <w:sz w:val="20"/>
          <w:szCs w:val="20"/>
        </w:rPr>
        <w:t>ерна</w:t>
      </w:r>
      <w:r w:rsidRPr="006218A3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6F43E3">
        <w:rPr>
          <w:rFonts w:ascii="Arial" w:hAnsi="Arial" w:cs="Arial"/>
          <w:color w:val="000000"/>
          <w:sz w:val="20"/>
          <w:szCs w:val="20"/>
        </w:rPr>
        <w:t>По итогам</w:t>
      </w:r>
      <w:r w:rsidRPr="006218A3">
        <w:rPr>
          <w:rFonts w:ascii="Arial" w:hAnsi="Arial" w:cs="Arial"/>
          <w:color w:val="000000"/>
          <w:sz w:val="20"/>
          <w:szCs w:val="20"/>
        </w:rPr>
        <w:t xml:space="preserve"> 2016 г. внешнеторговый оборот составил 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 xml:space="preserve">(по методологии </w:t>
      </w:r>
      <w:r w:rsidR="006F43E3" w:rsidRPr="009E1A22">
        <w:rPr>
          <w:rFonts w:ascii="Arial" w:hAnsi="Arial" w:cs="Arial"/>
          <w:color w:val="000000"/>
          <w:sz w:val="20"/>
          <w:szCs w:val="20"/>
        </w:rPr>
        <w:t>платёжного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 xml:space="preserve"> баланса</w:t>
      </w:r>
      <w:r w:rsidR="009E1A2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 xml:space="preserve">в фактически действовавших ценах) </w:t>
      </w:r>
      <w:r w:rsidR="006F43E3">
        <w:rPr>
          <w:rFonts w:ascii="Arial" w:hAnsi="Arial" w:cs="Arial"/>
          <w:color w:val="000000"/>
          <w:sz w:val="20"/>
          <w:szCs w:val="20"/>
        </w:rPr>
        <w:t>473,2</w:t>
      </w:r>
      <w:r w:rsidR="009E1A22">
        <w:rPr>
          <w:rFonts w:ascii="Arial" w:hAnsi="Arial" w:cs="Arial"/>
          <w:color w:val="000000"/>
          <w:sz w:val="20"/>
          <w:szCs w:val="20"/>
        </w:rPr>
        <w:t xml:space="preserve"> млрд. долл. США, </w:t>
      </w:r>
      <w:r w:rsidRPr="006218A3">
        <w:rPr>
          <w:rFonts w:ascii="Arial" w:hAnsi="Arial" w:cs="Arial"/>
          <w:color w:val="000000"/>
          <w:sz w:val="20"/>
          <w:szCs w:val="20"/>
        </w:rPr>
        <w:t xml:space="preserve">в том числе, экспорт – 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>281,8</w:t>
      </w:r>
      <w:r w:rsidR="006F43E3">
        <w:rPr>
          <w:rFonts w:ascii="Arial" w:hAnsi="Arial" w:cs="Arial"/>
          <w:color w:val="000000"/>
          <w:sz w:val="20"/>
          <w:szCs w:val="20"/>
        </w:rPr>
        <w:t xml:space="preserve"> млрд. долл.</w:t>
      </w:r>
      <w:r w:rsidRPr="006218A3">
        <w:rPr>
          <w:rFonts w:ascii="Arial" w:hAnsi="Arial" w:cs="Arial"/>
          <w:color w:val="000000"/>
          <w:sz w:val="20"/>
          <w:szCs w:val="20"/>
        </w:rPr>
        <w:t xml:space="preserve">, импорт – 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>191,4</w:t>
      </w:r>
      <w:r w:rsidRPr="006218A3">
        <w:rPr>
          <w:rFonts w:ascii="Arial" w:hAnsi="Arial" w:cs="Arial"/>
          <w:color w:val="000000"/>
          <w:sz w:val="20"/>
          <w:szCs w:val="20"/>
        </w:rPr>
        <w:t xml:space="preserve"> млрд. долларов с положительным сальдо торгового баланса 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>90,4</w:t>
      </w:r>
      <w:r w:rsidR="009E1A2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18A3">
        <w:rPr>
          <w:rFonts w:ascii="Arial" w:hAnsi="Arial" w:cs="Arial"/>
          <w:color w:val="000000"/>
          <w:sz w:val="20"/>
          <w:szCs w:val="20"/>
        </w:rPr>
        <w:t>млрд. долл.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 xml:space="preserve"> (в 2015г.</w:t>
      </w:r>
      <w:r w:rsidR="009E1A22">
        <w:rPr>
          <w:rFonts w:ascii="Arial" w:hAnsi="Arial" w:cs="Arial"/>
          <w:color w:val="000000"/>
          <w:sz w:val="20"/>
          <w:szCs w:val="20"/>
        </w:rPr>
        <w:t xml:space="preserve"> положительное сальдо - 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>148,5 млрд.</w:t>
      </w:r>
      <w:r w:rsidR="009E1A22">
        <w:rPr>
          <w:rFonts w:ascii="Arial" w:hAnsi="Arial" w:cs="Arial"/>
          <w:color w:val="000000"/>
          <w:sz w:val="20"/>
          <w:szCs w:val="20"/>
        </w:rPr>
        <w:t xml:space="preserve"> 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>долларов</w:t>
      </w:r>
      <w:r w:rsidR="009E1A22">
        <w:rPr>
          <w:rFonts w:ascii="Arial" w:hAnsi="Arial" w:cs="Arial"/>
          <w:color w:val="000000"/>
          <w:sz w:val="20"/>
          <w:szCs w:val="20"/>
        </w:rPr>
        <w:t xml:space="preserve"> США</w:t>
      </w:r>
      <w:r w:rsidR="00710437">
        <w:rPr>
          <w:rFonts w:ascii="Arial" w:hAnsi="Arial" w:cs="Arial"/>
          <w:color w:val="000000"/>
          <w:sz w:val="20"/>
          <w:szCs w:val="20"/>
        </w:rPr>
        <w:t xml:space="preserve">). </w:t>
      </w:r>
      <w:proofErr w:type="gramEnd"/>
    </w:p>
    <w:p w:rsidR="00DE5E69" w:rsidRDefault="00DE5E69" w:rsidP="00D65C12">
      <w:pPr>
        <w:spacing w:after="0" w:line="240" w:lineRule="auto"/>
        <w:ind w:firstLine="284"/>
        <w:contextualSpacing/>
        <w:jc w:val="center"/>
        <w:rPr>
          <w:rFonts w:ascii="Arial" w:hAnsi="Arial" w:cs="Arial"/>
          <w:sz w:val="20"/>
          <w:szCs w:val="20"/>
        </w:rPr>
      </w:pPr>
      <w:r w:rsidRPr="006218A3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6712C2A2" wp14:editId="55C1B211">
            <wp:extent cx="5085348" cy="2982058"/>
            <wp:effectExtent l="0" t="0" r="127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7" b="4478"/>
                    <a:stretch/>
                  </pic:blipFill>
                  <pic:spPr bwMode="auto">
                    <a:xfrm>
                      <a:off x="0" y="0"/>
                      <a:ext cx="5092700" cy="298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0443" w:rsidRPr="006218A3" w:rsidRDefault="004E0443" w:rsidP="00A6483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Положительная динамика с сентября 2016 года после значительного снижения 2015 года.</w:t>
      </w:r>
    </w:p>
    <w:p w:rsidR="004E0443" w:rsidRPr="006F43E3" w:rsidRDefault="00DE5E69" w:rsidP="00102E5A">
      <w:pPr>
        <w:spacing w:before="240" w:line="240" w:lineRule="auto"/>
        <w:ind w:firstLine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6218A3">
        <w:rPr>
          <w:rFonts w:ascii="Arial" w:hAnsi="Arial" w:cs="Arial"/>
          <w:b/>
          <w:bCs/>
          <w:color w:val="000000"/>
          <w:sz w:val="20"/>
          <w:szCs w:val="20"/>
        </w:rPr>
        <w:t>Финансовый результат организаций</w:t>
      </w:r>
      <w:r w:rsidR="006F43E3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(сальдированный) 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(без субъектов малого предпринимательства, банков, страховых организаций и государственных (муниципальных) учреждений в действующих ценах) </w:t>
      </w:r>
      <w:r w:rsidR="006F43E3">
        <w:rPr>
          <w:rFonts w:ascii="Arial" w:hAnsi="Arial" w:cs="Arial"/>
          <w:color w:val="000000"/>
          <w:sz w:val="20"/>
          <w:szCs w:val="20"/>
        </w:rPr>
        <w:t>в 2016г.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 составил +11</w:t>
      </w:r>
      <w:r w:rsidR="006F43E3">
        <w:rPr>
          <w:rFonts w:ascii="Arial" w:hAnsi="Arial" w:cs="Arial"/>
          <w:color w:val="000000"/>
          <w:sz w:val="20"/>
          <w:szCs w:val="20"/>
        </w:rPr>
        <w:t xml:space="preserve"> 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>587,7 млрд.</w:t>
      </w:r>
      <w:r w:rsidR="006F43E3">
        <w:rPr>
          <w:rFonts w:ascii="Arial" w:hAnsi="Arial" w:cs="Arial"/>
          <w:color w:val="000000"/>
          <w:sz w:val="20"/>
          <w:szCs w:val="20"/>
        </w:rPr>
        <w:t xml:space="preserve"> 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рублей (38,5  тыс. организаций получили прибыль в размере </w:t>
      </w:r>
      <w:r w:rsidR="00102E5A">
        <w:rPr>
          <w:rFonts w:ascii="Arial" w:hAnsi="Arial" w:cs="Arial"/>
          <w:color w:val="000000"/>
          <w:sz w:val="20"/>
          <w:szCs w:val="20"/>
        </w:rPr>
        <w:t>+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>13</w:t>
      </w:r>
      <w:r w:rsidR="006F43E3">
        <w:rPr>
          <w:rFonts w:ascii="Arial" w:hAnsi="Arial" w:cs="Arial"/>
          <w:color w:val="000000"/>
          <w:sz w:val="20"/>
          <w:szCs w:val="20"/>
        </w:rPr>
        <w:t xml:space="preserve"> 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195,4 </w:t>
      </w:r>
      <w:r w:rsidR="00102E5A" w:rsidRPr="006F43E3">
        <w:rPr>
          <w:rFonts w:ascii="Arial" w:hAnsi="Arial" w:cs="Arial"/>
          <w:color w:val="000000"/>
          <w:sz w:val="20"/>
          <w:szCs w:val="20"/>
        </w:rPr>
        <w:t>млрд. рублей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, 13,5 тыс. организаций имели убыток на сумму </w:t>
      </w:r>
      <w:r w:rsidR="00102E5A">
        <w:rPr>
          <w:rFonts w:ascii="Arial" w:hAnsi="Arial" w:cs="Arial"/>
          <w:color w:val="000000"/>
          <w:sz w:val="20"/>
          <w:szCs w:val="20"/>
        </w:rPr>
        <w:t>-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>1</w:t>
      </w:r>
      <w:r w:rsidR="006F43E3">
        <w:rPr>
          <w:rFonts w:ascii="Arial" w:hAnsi="Arial" w:cs="Arial"/>
          <w:color w:val="000000"/>
          <w:sz w:val="20"/>
          <w:szCs w:val="20"/>
        </w:rPr>
        <w:t xml:space="preserve"> 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607,7 </w:t>
      </w:r>
      <w:r w:rsidR="00102E5A" w:rsidRPr="006F43E3">
        <w:rPr>
          <w:rFonts w:ascii="Arial" w:hAnsi="Arial" w:cs="Arial"/>
          <w:color w:val="000000"/>
          <w:sz w:val="20"/>
          <w:szCs w:val="20"/>
        </w:rPr>
        <w:t>млрд. рублей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>) и по сравнению с соответствующим периодом предыдущего года увеличился на 37,9%</w:t>
      </w:r>
      <w:r w:rsidR="00102E5A">
        <w:rPr>
          <w:rFonts w:ascii="Arial" w:hAnsi="Arial" w:cs="Arial"/>
          <w:color w:val="000000"/>
          <w:sz w:val="20"/>
          <w:szCs w:val="20"/>
        </w:rPr>
        <w:t xml:space="preserve"> (в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 2015г</w:t>
      </w:r>
      <w:proofErr w:type="gramEnd"/>
      <w:r w:rsidR="006F43E3" w:rsidRPr="006F43E3">
        <w:rPr>
          <w:rFonts w:ascii="Arial" w:hAnsi="Arial" w:cs="Arial"/>
          <w:color w:val="000000"/>
          <w:sz w:val="20"/>
          <w:szCs w:val="20"/>
        </w:rPr>
        <w:t>.</w:t>
      </w:r>
      <w:r w:rsidR="00102E5A">
        <w:rPr>
          <w:rFonts w:ascii="Arial" w:hAnsi="Arial" w:cs="Arial"/>
          <w:color w:val="000000"/>
          <w:sz w:val="20"/>
          <w:szCs w:val="20"/>
        </w:rPr>
        <w:t xml:space="preserve"> - 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 +</w:t>
      </w:r>
      <w:proofErr w:type="gramStart"/>
      <w:r w:rsidR="006F43E3" w:rsidRPr="006F43E3">
        <w:rPr>
          <w:rFonts w:ascii="Arial" w:hAnsi="Arial" w:cs="Arial"/>
          <w:color w:val="000000"/>
          <w:sz w:val="20"/>
          <w:szCs w:val="20"/>
        </w:rPr>
        <w:t>8</w:t>
      </w:r>
      <w:r w:rsidR="00102E5A">
        <w:rPr>
          <w:rFonts w:ascii="Arial" w:hAnsi="Arial" w:cs="Arial"/>
          <w:color w:val="000000"/>
          <w:sz w:val="20"/>
          <w:szCs w:val="20"/>
        </w:rPr>
        <w:t xml:space="preserve"> 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403,7 </w:t>
      </w:r>
      <w:r w:rsidR="00102E5A" w:rsidRPr="006F43E3">
        <w:rPr>
          <w:rFonts w:ascii="Arial" w:hAnsi="Arial" w:cs="Arial"/>
          <w:color w:val="000000"/>
          <w:sz w:val="20"/>
          <w:szCs w:val="20"/>
        </w:rPr>
        <w:t>млрд. рублей</w:t>
      </w:r>
      <w:r w:rsidR="00102E5A">
        <w:rPr>
          <w:rFonts w:ascii="Arial" w:hAnsi="Arial" w:cs="Arial"/>
          <w:color w:val="000000"/>
          <w:sz w:val="20"/>
          <w:szCs w:val="20"/>
        </w:rPr>
        <w:t>)</w:t>
      </w:r>
      <w:r w:rsidR="004E0443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4E0443">
        <w:rPr>
          <w:rFonts w:ascii="Arial" w:hAnsi="Arial" w:cs="Arial"/>
          <w:color w:val="000000"/>
          <w:sz w:val="20"/>
          <w:szCs w:val="20"/>
        </w:rPr>
        <w:t xml:space="preserve">    – Положительная динамика после значительного снижения 2015 года.</w:t>
      </w:r>
    </w:p>
    <w:p w:rsidR="00A6483A" w:rsidRDefault="00DE5E69" w:rsidP="00E6626D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6218A3">
        <w:rPr>
          <w:rFonts w:ascii="Arial" w:hAnsi="Arial" w:cs="Arial"/>
          <w:b/>
          <w:sz w:val="20"/>
          <w:szCs w:val="20"/>
        </w:rPr>
        <w:t>Реальные денежные доходы</w:t>
      </w:r>
      <w:r w:rsidRPr="006218A3">
        <w:rPr>
          <w:rFonts w:ascii="Arial" w:hAnsi="Arial" w:cs="Arial"/>
          <w:sz w:val="20"/>
          <w:szCs w:val="20"/>
        </w:rPr>
        <w:t>,</w:t>
      </w:r>
      <w:r w:rsidR="00E6626D">
        <w:rPr>
          <w:rFonts w:ascii="Arial" w:hAnsi="Arial" w:cs="Arial"/>
          <w:sz w:val="20"/>
          <w:szCs w:val="20"/>
        </w:rPr>
        <w:t xml:space="preserve"> по данным Интерфакс (</w:t>
      </w:r>
      <w:hyperlink r:id="rId8" w:history="1">
        <w:r w:rsidR="00E6626D" w:rsidRPr="00A32E48">
          <w:rPr>
            <w:rStyle w:val="a4"/>
            <w:rFonts w:ascii="Arial" w:hAnsi="Arial" w:cs="Arial"/>
            <w:sz w:val="20"/>
            <w:szCs w:val="20"/>
          </w:rPr>
          <w:t>http://www.interfax.ru/business/551040</w:t>
        </w:r>
      </w:hyperlink>
      <w:r w:rsidR="00E6626D">
        <w:rPr>
          <w:rFonts w:ascii="Arial" w:hAnsi="Arial" w:cs="Arial"/>
          <w:sz w:val="20"/>
          <w:szCs w:val="20"/>
        </w:rPr>
        <w:t xml:space="preserve">), </w:t>
      </w:r>
      <w:r w:rsidR="00F04046" w:rsidRPr="00F04046">
        <w:rPr>
          <w:rFonts w:ascii="Arial" w:hAnsi="Arial" w:cs="Arial"/>
          <w:sz w:val="20"/>
          <w:szCs w:val="20"/>
        </w:rPr>
        <w:t xml:space="preserve">в 2016 году </w:t>
      </w:r>
      <w:r w:rsidR="00E6626D">
        <w:rPr>
          <w:rFonts w:ascii="Arial" w:hAnsi="Arial" w:cs="Arial"/>
          <w:sz w:val="20"/>
          <w:szCs w:val="20"/>
        </w:rPr>
        <w:t xml:space="preserve">по сравнению с предыдущим годом </w:t>
      </w:r>
      <w:r w:rsidR="00F04046" w:rsidRPr="00F04046">
        <w:rPr>
          <w:rFonts w:ascii="Arial" w:hAnsi="Arial" w:cs="Arial"/>
          <w:sz w:val="20"/>
          <w:szCs w:val="20"/>
        </w:rPr>
        <w:t>упали на 5,9% в реальном выражении, в 2015 году было падение на 3,2%, в 2014 году их снижение составило 0,7%.</w:t>
      </w:r>
      <w:r w:rsidR="00F04046">
        <w:rPr>
          <w:rFonts w:ascii="Arial" w:hAnsi="Arial" w:cs="Arial"/>
          <w:sz w:val="20"/>
          <w:szCs w:val="20"/>
        </w:rPr>
        <w:t xml:space="preserve"> </w:t>
      </w:r>
      <w:r w:rsidR="00E6626D">
        <w:rPr>
          <w:rFonts w:ascii="Arial" w:hAnsi="Arial" w:cs="Arial"/>
          <w:sz w:val="20"/>
          <w:szCs w:val="20"/>
        </w:rPr>
        <w:t xml:space="preserve"> </w:t>
      </w:r>
    </w:p>
    <w:p w:rsidR="00E6626D" w:rsidRDefault="00F04046" w:rsidP="00A6483A">
      <w:pPr>
        <w:spacing w:after="0" w:line="240" w:lineRule="auto"/>
        <w:contextualSpacing/>
        <w:jc w:val="both"/>
        <w:rPr>
          <w:rFonts w:ascii="Arial" w:hAnsi="Arial" w:cs="Arial"/>
          <w:noProof/>
          <w:color w:val="1A1A1A" w:themeColor="background1" w:themeShade="1A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- Отрицательная динамика. </w:t>
      </w:r>
      <w:r w:rsidR="009474F5">
        <w:rPr>
          <w:rFonts w:ascii="Arial" w:hAnsi="Arial" w:cs="Arial"/>
          <w:sz w:val="20"/>
          <w:szCs w:val="20"/>
        </w:rPr>
        <w:t>Однако</w:t>
      </w:r>
      <w:r>
        <w:rPr>
          <w:rFonts w:ascii="Arial" w:hAnsi="Arial" w:cs="Arial"/>
          <w:sz w:val="20"/>
          <w:szCs w:val="20"/>
        </w:rPr>
        <w:t xml:space="preserve"> наметилась </w:t>
      </w:r>
      <w:r w:rsidR="00E6626D"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</w:rPr>
        <w:t>положительная тенденция</w:t>
      </w:r>
      <w:r w:rsidR="007B5B76">
        <w:rPr>
          <w:rFonts w:ascii="Arial" w:hAnsi="Arial" w:cs="Arial"/>
          <w:sz w:val="20"/>
          <w:szCs w:val="20"/>
        </w:rPr>
        <w:t>: январь 2017/</w:t>
      </w:r>
      <w:r w:rsidR="007B5B76" w:rsidRPr="007B5B76">
        <w:rPr>
          <w:rFonts w:ascii="Arial" w:hAnsi="Arial" w:cs="Arial"/>
          <w:sz w:val="20"/>
          <w:szCs w:val="20"/>
        </w:rPr>
        <w:t>январ</w:t>
      </w:r>
      <w:r w:rsidR="007B5B76">
        <w:rPr>
          <w:rFonts w:ascii="Arial" w:hAnsi="Arial" w:cs="Arial"/>
          <w:sz w:val="20"/>
          <w:szCs w:val="20"/>
        </w:rPr>
        <w:t>ь</w:t>
      </w:r>
      <w:r w:rsidR="007B5B76" w:rsidRPr="007B5B76">
        <w:rPr>
          <w:rFonts w:ascii="Arial" w:hAnsi="Arial" w:cs="Arial"/>
          <w:sz w:val="20"/>
          <w:szCs w:val="20"/>
        </w:rPr>
        <w:t xml:space="preserve"> 2016 года </w:t>
      </w:r>
      <w:r w:rsidR="007B5B76">
        <w:rPr>
          <w:rFonts w:ascii="Arial" w:hAnsi="Arial" w:cs="Arial"/>
          <w:sz w:val="20"/>
          <w:szCs w:val="20"/>
        </w:rPr>
        <w:t>РДД</w:t>
      </w:r>
      <w:r w:rsidR="007B5B76" w:rsidRPr="007B5B76">
        <w:rPr>
          <w:rFonts w:ascii="Arial" w:hAnsi="Arial" w:cs="Arial"/>
          <w:sz w:val="20"/>
          <w:szCs w:val="20"/>
        </w:rPr>
        <w:t xml:space="preserve"> выросли на 8,1%</w:t>
      </w:r>
      <w:r w:rsidR="00A5769A">
        <w:rPr>
          <w:rFonts w:ascii="Arial" w:hAnsi="Arial" w:cs="Arial"/>
          <w:sz w:val="20"/>
          <w:szCs w:val="20"/>
        </w:rPr>
        <w:t>.</w:t>
      </w:r>
      <w:r w:rsidR="009474F5">
        <w:rPr>
          <w:rFonts w:ascii="Arial" w:hAnsi="Arial" w:cs="Arial"/>
          <w:noProof/>
          <w:color w:val="1A1A1A" w:themeColor="background1" w:themeShade="1A"/>
          <w:sz w:val="20"/>
          <w:szCs w:val="20"/>
          <w:lang w:eastAsia="ru-RU"/>
        </w:rPr>
        <w:t xml:space="preserve"> </w:t>
      </w:r>
    </w:p>
    <w:p w:rsidR="00A6483A" w:rsidRDefault="009474F5" w:rsidP="004A7150">
      <w:pPr>
        <w:spacing w:after="0" w:line="240" w:lineRule="auto"/>
        <w:ind w:firstLine="284"/>
        <w:contextualSpacing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noProof/>
          <w:color w:val="1A1A1A" w:themeColor="background1" w:themeShade="1A"/>
          <w:sz w:val="20"/>
          <w:szCs w:val="20"/>
          <w:lang w:eastAsia="ru-RU"/>
        </w:rPr>
        <w:t xml:space="preserve">При этом, </w:t>
      </w:r>
      <w:r w:rsidR="00490DD8">
        <w:rPr>
          <w:rFonts w:ascii="Arial" w:hAnsi="Arial" w:cs="Arial"/>
          <w:b/>
          <w:sz w:val="20"/>
          <w:szCs w:val="20"/>
        </w:rPr>
        <w:t>с</w:t>
      </w:r>
      <w:r w:rsidR="00F17720" w:rsidRPr="00F17720">
        <w:rPr>
          <w:rFonts w:ascii="Arial" w:hAnsi="Arial" w:cs="Arial"/>
          <w:b/>
          <w:sz w:val="20"/>
          <w:szCs w:val="20"/>
        </w:rPr>
        <w:t xml:space="preserve">редства юридических и физических лиц </w:t>
      </w:r>
      <w:r w:rsidR="00F17720" w:rsidRPr="009D72E6">
        <w:rPr>
          <w:rFonts w:ascii="Arial" w:hAnsi="Arial" w:cs="Arial"/>
          <w:sz w:val="20"/>
          <w:szCs w:val="20"/>
        </w:rPr>
        <w:t>в рублях, иностранной валюте и драгоценных металлах</w:t>
      </w:r>
      <w:r w:rsidR="004A7150" w:rsidRPr="009D72E6">
        <w:rPr>
          <w:rFonts w:ascii="Arial" w:hAnsi="Arial" w:cs="Arial"/>
          <w:sz w:val="20"/>
          <w:szCs w:val="20"/>
        </w:rPr>
        <w:t>,</w:t>
      </w:r>
      <w:r w:rsidR="004A7150" w:rsidRPr="004A7150">
        <w:rPr>
          <w:rFonts w:ascii="Arial" w:hAnsi="Arial" w:cs="Arial"/>
          <w:sz w:val="20"/>
          <w:szCs w:val="20"/>
        </w:rPr>
        <w:t xml:space="preserve"> в т.ч. </w:t>
      </w:r>
      <w:r w:rsidR="004A7150" w:rsidRPr="00F17720">
        <w:rPr>
          <w:rFonts w:ascii="Arial" w:hAnsi="Arial" w:cs="Arial"/>
          <w:sz w:val="20"/>
          <w:szCs w:val="20"/>
        </w:rPr>
        <w:t>банковские депозиты (вклады)</w:t>
      </w:r>
      <w:r w:rsidR="004A7150">
        <w:rPr>
          <w:rFonts w:ascii="Arial" w:hAnsi="Arial" w:cs="Arial"/>
          <w:sz w:val="20"/>
          <w:szCs w:val="20"/>
        </w:rPr>
        <w:t>,</w:t>
      </w:r>
      <w:r w:rsidR="00F17720" w:rsidRPr="00F17720">
        <w:rPr>
          <w:rFonts w:ascii="Arial" w:hAnsi="Arial" w:cs="Arial"/>
          <w:b/>
          <w:bCs/>
          <w:sz w:val="20"/>
          <w:szCs w:val="20"/>
        </w:rPr>
        <w:t xml:space="preserve"> </w:t>
      </w:r>
      <w:r w:rsidR="004A7150">
        <w:rPr>
          <w:rFonts w:ascii="Arial" w:hAnsi="Arial" w:cs="Arial"/>
          <w:bCs/>
          <w:sz w:val="20"/>
          <w:szCs w:val="20"/>
        </w:rPr>
        <w:t>по состоянию на 01.02</w:t>
      </w:r>
      <w:r w:rsidR="00DE5E69" w:rsidRPr="006218A3">
        <w:rPr>
          <w:rFonts w:ascii="Arial" w:hAnsi="Arial" w:cs="Arial"/>
          <w:bCs/>
          <w:sz w:val="20"/>
          <w:szCs w:val="20"/>
        </w:rPr>
        <w:t>.</w:t>
      </w:r>
      <w:r w:rsidR="004A7150">
        <w:rPr>
          <w:rFonts w:ascii="Arial" w:hAnsi="Arial" w:cs="Arial"/>
          <w:bCs/>
          <w:sz w:val="20"/>
          <w:szCs w:val="20"/>
        </w:rPr>
        <w:t>2</w:t>
      </w:r>
      <w:r w:rsidR="00DE5E69" w:rsidRPr="006218A3">
        <w:rPr>
          <w:rFonts w:ascii="Arial" w:hAnsi="Arial" w:cs="Arial"/>
          <w:bCs/>
          <w:sz w:val="20"/>
          <w:szCs w:val="20"/>
        </w:rPr>
        <w:t>01</w:t>
      </w:r>
      <w:r w:rsidR="004A7150">
        <w:rPr>
          <w:rFonts w:ascii="Arial" w:hAnsi="Arial" w:cs="Arial"/>
          <w:bCs/>
          <w:sz w:val="20"/>
          <w:szCs w:val="20"/>
        </w:rPr>
        <w:t>7</w:t>
      </w:r>
      <w:r w:rsidR="00DE5E69" w:rsidRPr="006218A3">
        <w:rPr>
          <w:rFonts w:ascii="Arial" w:hAnsi="Arial" w:cs="Arial"/>
          <w:bCs/>
          <w:sz w:val="20"/>
          <w:szCs w:val="20"/>
        </w:rPr>
        <w:t xml:space="preserve"> года возросли до </w:t>
      </w:r>
      <w:r w:rsidR="004A7150" w:rsidRPr="004A7150">
        <w:rPr>
          <w:rFonts w:ascii="Arial" w:hAnsi="Arial" w:cs="Arial"/>
          <w:bCs/>
          <w:sz w:val="20"/>
          <w:szCs w:val="20"/>
        </w:rPr>
        <w:t>34 456 510</w:t>
      </w:r>
      <w:r w:rsidR="00DE5E69" w:rsidRPr="006218A3">
        <w:rPr>
          <w:rFonts w:ascii="Arial" w:hAnsi="Arial" w:cs="Arial"/>
          <w:bCs/>
          <w:sz w:val="20"/>
          <w:szCs w:val="20"/>
        </w:rPr>
        <w:t xml:space="preserve"> млрд. руб. по сравнению с </w:t>
      </w:r>
      <w:r w:rsidR="004A7150" w:rsidRPr="004A7150">
        <w:rPr>
          <w:rFonts w:ascii="Arial" w:hAnsi="Arial" w:cs="Arial"/>
          <w:bCs/>
          <w:sz w:val="20"/>
          <w:szCs w:val="20"/>
        </w:rPr>
        <w:t>27 523 647</w:t>
      </w:r>
      <w:r w:rsidR="00DE5E69" w:rsidRPr="006218A3">
        <w:rPr>
          <w:rFonts w:ascii="Arial" w:hAnsi="Arial" w:cs="Arial"/>
          <w:bCs/>
          <w:sz w:val="20"/>
          <w:szCs w:val="20"/>
        </w:rPr>
        <w:t xml:space="preserve"> млрд. руб. на 01.01.2015 года (+2</w:t>
      </w:r>
      <w:r w:rsidR="004A7150">
        <w:rPr>
          <w:rFonts w:ascii="Arial" w:hAnsi="Arial" w:cs="Arial"/>
          <w:bCs/>
          <w:sz w:val="20"/>
          <w:szCs w:val="20"/>
        </w:rPr>
        <w:t>5</w:t>
      </w:r>
      <w:r w:rsidR="00DE5E69" w:rsidRPr="006218A3">
        <w:rPr>
          <w:rFonts w:ascii="Arial" w:hAnsi="Arial" w:cs="Arial"/>
          <w:bCs/>
          <w:sz w:val="20"/>
          <w:szCs w:val="20"/>
        </w:rPr>
        <w:t>,</w:t>
      </w:r>
      <w:r w:rsidR="004A7150">
        <w:rPr>
          <w:rFonts w:ascii="Arial" w:hAnsi="Arial" w:cs="Arial"/>
          <w:bCs/>
          <w:sz w:val="20"/>
          <w:szCs w:val="20"/>
        </w:rPr>
        <w:t>2</w:t>
      </w:r>
      <w:r w:rsidR="00DE5E69" w:rsidRPr="006218A3">
        <w:rPr>
          <w:rFonts w:ascii="Arial" w:hAnsi="Arial" w:cs="Arial"/>
          <w:bCs/>
          <w:sz w:val="20"/>
          <w:szCs w:val="20"/>
        </w:rPr>
        <w:t>%</w:t>
      </w:r>
      <w:r w:rsidR="00487B51">
        <w:rPr>
          <w:rFonts w:ascii="Arial" w:hAnsi="Arial" w:cs="Arial"/>
          <w:bCs/>
          <w:sz w:val="20"/>
          <w:szCs w:val="20"/>
        </w:rPr>
        <w:t xml:space="preserve"> (не учитывая инфляцию)</w:t>
      </w:r>
      <w:r w:rsidR="00DE5E69" w:rsidRPr="006218A3">
        <w:rPr>
          <w:rFonts w:ascii="Arial" w:hAnsi="Arial" w:cs="Arial"/>
          <w:bCs/>
          <w:sz w:val="20"/>
          <w:szCs w:val="20"/>
        </w:rPr>
        <w:t>)</w:t>
      </w:r>
      <w:r w:rsidR="009D72E6">
        <w:rPr>
          <w:rFonts w:ascii="Arial" w:hAnsi="Arial" w:cs="Arial"/>
          <w:bCs/>
          <w:sz w:val="20"/>
          <w:szCs w:val="20"/>
        </w:rPr>
        <w:t>.</w:t>
      </w:r>
      <w:r w:rsidR="00DE5E69" w:rsidRPr="006218A3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:rsidR="00811E61" w:rsidRPr="006879D8" w:rsidRDefault="009D72E6" w:rsidP="006879D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Положительная динамика, что показывает значительный отложенный спрос</w:t>
      </w:r>
      <w:r w:rsidR="0010145E">
        <w:rPr>
          <w:rFonts w:ascii="Arial" w:hAnsi="Arial" w:cs="Arial"/>
          <w:color w:val="000000"/>
          <w:sz w:val="20"/>
          <w:szCs w:val="20"/>
        </w:rPr>
        <w:t>, в том числе в части инвестирования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C016E" w:rsidRDefault="007466AD" w:rsidP="007B5B76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Ч</w:t>
      </w:r>
      <w:r w:rsidRPr="007466AD">
        <w:rPr>
          <w:rFonts w:ascii="Arial" w:hAnsi="Arial" w:cs="Arial"/>
          <w:b/>
          <w:color w:val="000000"/>
          <w:sz w:val="20"/>
        </w:rPr>
        <w:t xml:space="preserve">исленность рабочей </w:t>
      </w:r>
      <w:r w:rsidRPr="001C1467">
        <w:rPr>
          <w:rFonts w:ascii="Arial" w:hAnsi="Arial" w:cs="Arial"/>
          <w:b/>
          <w:color w:val="000000"/>
          <w:sz w:val="20"/>
        </w:rPr>
        <w:t>силы</w:t>
      </w:r>
      <w:r w:rsidR="00B266C4" w:rsidRPr="00B266C4">
        <w:rPr>
          <w:rFonts w:ascii="Arial" w:hAnsi="Arial" w:cs="Arial"/>
          <w:color w:val="000000"/>
          <w:sz w:val="20"/>
        </w:rPr>
        <w:t xml:space="preserve"> </w:t>
      </w:r>
      <w:r w:rsidR="00B266C4" w:rsidRPr="001C1467">
        <w:rPr>
          <w:rFonts w:ascii="Arial" w:hAnsi="Arial" w:cs="Arial"/>
          <w:color w:val="000000"/>
          <w:sz w:val="20"/>
        </w:rPr>
        <w:t>в</w:t>
      </w:r>
      <w:r w:rsidR="00B266C4" w:rsidRPr="007466AD">
        <w:rPr>
          <w:rFonts w:ascii="Arial" w:hAnsi="Arial" w:cs="Arial"/>
          <w:color w:val="000000"/>
          <w:sz w:val="20"/>
        </w:rPr>
        <w:t xml:space="preserve"> январе</w:t>
      </w:r>
      <w:r w:rsidR="001C1467">
        <w:rPr>
          <w:rFonts w:ascii="Arial" w:hAnsi="Arial" w:cs="Arial"/>
          <w:color w:val="000000"/>
          <w:sz w:val="20"/>
        </w:rPr>
        <w:t xml:space="preserve">, по данным выборочного обследования Росстата, </w:t>
      </w:r>
      <w:r w:rsidRPr="007466AD">
        <w:rPr>
          <w:rFonts w:ascii="Arial" w:hAnsi="Arial" w:cs="Arial"/>
          <w:color w:val="000000"/>
          <w:sz w:val="20"/>
        </w:rPr>
        <w:t xml:space="preserve">составила 76,1 млн. </w:t>
      </w:r>
      <w:r w:rsidR="00B266C4">
        <w:rPr>
          <w:rFonts w:ascii="Arial" w:hAnsi="Arial" w:cs="Arial"/>
          <w:color w:val="000000"/>
          <w:sz w:val="20"/>
        </w:rPr>
        <w:t>человек (</w:t>
      </w:r>
      <w:r w:rsidRPr="007466AD">
        <w:rPr>
          <w:rFonts w:ascii="Arial" w:hAnsi="Arial" w:cs="Arial"/>
          <w:color w:val="000000"/>
          <w:sz w:val="20"/>
        </w:rPr>
        <w:t>52 % от общей численности населения</w:t>
      </w:r>
      <w:r w:rsidR="00B266C4">
        <w:rPr>
          <w:rFonts w:ascii="Arial" w:hAnsi="Arial" w:cs="Arial"/>
          <w:color w:val="000000"/>
          <w:sz w:val="20"/>
        </w:rPr>
        <w:t>)</w:t>
      </w:r>
      <w:r w:rsidRPr="007466AD">
        <w:rPr>
          <w:rFonts w:ascii="Arial" w:hAnsi="Arial" w:cs="Arial"/>
          <w:color w:val="000000"/>
          <w:sz w:val="20"/>
        </w:rPr>
        <w:t xml:space="preserve">, </w:t>
      </w:r>
      <w:r w:rsidRPr="00B266C4">
        <w:rPr>
          <w:rFonts w:ascii="Arial" w:hAnsi="Arial" w:cs="Arial"/>
          <w:b/>
          <w:color w:val="000000"/>
          <w:sz w:val="20"/>
        </w:rPr>
        <w:t>4,3 млн. человек не имели занятия</w:t>
      </w:r>
      <w:r w:rsidR="00F06FAA">
        <w:rPr>
          <w:rFonts w:ascii="Arial" w:hAnsi="Arial" w:cs="Arial"/>
          <w:b/>
          <w:color w:val="000000"/>
          <w:sz w:val="20"/>
        </w:rPr>
        <w:t xml:space="preserve"> (5,7 </w:t>
      </w:r>
      <w:r w:rsidR="00FE42B4" w:rsidRPr="00B266C4">
        <w:rPr>
          <w:rFonts w:ascii="Arial" w:hAnsi="Arial" w:cs="Arial"/>
          <w:b/>
          <w:color w:val="000000"/>
          <w:sz w:val="20"/>
        </w:rPr>
        <w:t>%).</w:t>
      </w:r>
      <w:r>
        <w:rPr>
          <w:rFonts w:ascii="Arial" w:hAnsi="Arial" w:cs="Arial"/>
          <w:color w:val="000000"/>
          <w:sz w:val="20"/>
        </w:rPr>
        <w:t xml:space="preserve"> </w:t>
      </w:r>
      <w:r w:rsidRPr="007466AD">
        <w:rPr>
          <w:rFonts w:ascii="Arial" w:hAnsi="Arial" w:cs="Arial"/>
          <w:color w:val="000000"/>
          <w:sz w:val="20"/>
        </w:rPr>
        <w:t>В государственных учреждениях службы занятости населения зарегистрированы в качестве безработных 0,9 млн.</w:t>
      </w:r>
      <w:r>
        <w:rPr>
          <w:rFonts w:ascii="Arial" w:hAnsi="Arial" w:cs="Arial"/>
          <w:color w:val="000000"/>
          <w:sz w:val="20"/>
        </w:rPr>
        <w:t xml:space="preserve"> </w:t>
      </w:r>
      <w:r w:rsidRPr="007466AD">
        <w:rPr>
          <w:rFonts w:ascii="Arial" w:hAnsi="Arial" w:cs="Arial"/>
          <w:color w:val="000000"/>
          <w:sz w:val="20"/>
        </w:rPr>
        <w:t>человек.</w:t>
      </w:r>
    </w:p>
    <w:p w:rsidR="00C67D0F" w:rsidRDefault="000C016E" w:rsidP="000C016E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– динамика стабильная, положение лучше, чем в 200</w:t>
      </w:r>
      <w:r w:rsidR="00CF6624">
        <w:rPr>
          <w:rFonts w:ascii="Arial" w:hAnsi="Arial" w:cs="Arial"/>
          <w:color w:val="000000"/>
          <w:sz w:val="20"/>
        </w:rPr>
        <w:t>9</w:t>
      </w:r>
      <w:r>
        <w:rPr>
          <w:rFonts w:ascii="Arial" w:hAnsi="Arial" w:cs="Arial"/>
          <w:color w:val="000000"/>
          <w:sz w:val="20"/>
        </w:rPr>
        <w:t>-20</w:t>
      </w:r>
      <w:r w:rsidR="00CF6624">
        <w:rPr>
          <w:rFonts w:ascii="Arial" w:hAnsi="Arial" w:cs="Arial"/>
          <w:color w:val="000000"/>
          <w:sz w:val="20"/>
        </w:rPr>
        <w:t>10</w:t>
      </w:r>
      <w:r>
        <w:rPr>
          <w:rFonts w:ascii="Arial" w:hAnsi="Arial" w:cs="Arial"/>
          <w:color w:val="000000"/>
          <w:sz w:val="20"/>
        </w:rPr>
        <w:t xml:space="preserve"> гг.:</w:t>
      </w:r>
    </w:p>
    <w:tbl>
      <w:tblPr>
        <w:tblStyle w:val="a5"/>
        <w:tblW w:w="0" w:type="auto"/>
        <w:tblInd w:w="448" w:type="dxa"/>
        <w:tblLook w:val="04A0" w:firstRow="1" w:lastRow="0" w:firstColumn="1" w:lastColumn="0" w:noHBand="0" w:noVBand="1"/>
      </w:tblPr>
      <w:tblGrid>
        <w:gridCol w:w="1985"/>
        <w:gridCol w:w="851"/>
        <w:gridCol w:w="851"/>
        <w:gridCol w:w="851"/>
        <w:gridCol w:w="850"/>
        <w:gridCol w:w="851"/>
        <w:gridCol w:w="850"/>
        <w:gridCol w:w="851"/>
        <w:gridCol w:w="850"/>
        <w:gridCol w:w="816"/>
      </w:tblGrid>
      <w:tr w:rsidR="00CF6624" w:rsidTr="006B7C9A">
        <w:tc>
          <w:tcPr>
            <w:tcW w:w="1985" w:type="dxa"/>
            <w:shd w:val="clear" w:color="auto" w:fill="DAEEF3" w:themeFill="accent5" w:themeFillTint="33"/>
          </w:tcPr>
          <w:p w:rsidR="00CF6624" w:rsidRDefault="00CF6624" w:rsidP="000C016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Годы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CF6624" w:rsidRDefault="00CF6624" w:rsidP="00CF6624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2008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CF6624" w:rsidRDefault="00CF6624" w:rsidP="00F5113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2009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CF6624" w:rsidRDefault="00CF6624" w:rsidP="00CF6624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F6624" w:rsidRDefault="00CF6624" w:rsidP="00CF6624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2011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CF6624" w:rsidRDefault="00CF6624" w:rsidP="00CF6624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2012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F6624" w:rsidRDefault="00CF6624" w:rsidP="00CF6624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2013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CF6624" w:rsidRDefault="00CF6624" w:rsidP="00CF6624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2014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F6624" w:rsidRDefault="00CF6624" w:rsidP="000C016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2015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CF6624" w:rsidRDefault="00CF6624" w:rsidP="000C016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2016</w:t>
            </w:r>
          </w:p>
        </w:tc>
      </w:tr>
      <w:tr w:rsidR="00CF6624" w:rsidTr="00F51135">
        <w:tc>
          <w:tcPr>
            <w:tcW w:w="1985" w:type="dxa"/>
          </w:tcPr>
          <w:p w:rsidR="00CF6624" w:rsidRDefault="00CF6624" w:rsidP="000C016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Безработных, %</w:t>
            </w:r>
          </w:p>
        </w:tc>
        <w:tc>
          <w:tcPr>
            <w:tcW w:w="851" w:type="dxa"/>
          </w:tcPr>
          <w:p w:rsidR="00CF6624" w:rsidRDefault="00CF6624" w:rsidP="000C016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6,2</w:t>
            </w:r>
          </w:p>
        </w:tc>
        <w:tc>
          <w:tcPr>
            <w:tcW w:w="851" w:type="dxa"/>
          </w:tcPr>
          <w:p w:rsidR="00CF6624" w:rsidRDefault="00CF6624" w:rsidP="00F5113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8,3</w:t>
            </w:r>
          </w:p>
        </w:tc>
        <w:tc>
          <w:tcPr>
            <w:tcW w:w="851" w:type="dxa"/>
          </w:tcPr>
          <w:p w:rsidR="00CF6624" w:rsidRDefault="00CF6624" w:rsidP="000C016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7,3</w:t>
            </w:r>
          </w:p>
        </w:tc>
        <w:tc>
          <w:tcPr>
            <w:tcW w:w="850" w:type="dxa"/>
          </w:tcPr>
          <w:p w:rsidR="00CF6624" w:rsidRDefault="00CF6624" w:rsidP="000C016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6,5</w:t>
            </w:r>
          </w:p>
        </w:tc>
        <w:tc>
          <w:tcPr>
            <w:tcW w:w="851" w:type="dxa"/>
          </w:tcPr>
          <w:p w:rsidR="00CF6624" w:rsidRDefault="00CF6624" w:rsidP="000C016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5,5</w:t>
            </w:r>
          </w:p>
        </w:tc>
        <w:tc>
          <w:tcPr>
            <w:tcW w:w="850" w:type="dxa"/>
          </w:tcPr>
          <w:p w:rsidR="00CF6624" w:rsidRDefault="00CF6624" w:rsidP="000C016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5,5</w:t>
            </w:r>
          </w:p>
        </w:tc>
        <w:tc>
          <w:tcPr>
            <w:tcW w:w="851" w:type="dxa"/>
          </w:tcPr>
          <w:p w:rsidR="00CF6624" w:rsidRDefault="00CF6624" w:rsidP="000C016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5,2</w:t>
            </w:r>
          </w:p>
        </w:tc>
        <w:tc>
          <w:tcPr>
            <w:tcW w:w="850" w:type="dxa"/>
          </w:tcPr>
          <w:p w:rsidR="00CF6624" w:rsidRDefault="00CF6624" w:rsidP="000C016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5,6</w:t>
            </w:r>
          </w:p>
        </w:tc>
        <w:tc>
          <w:tcPr>
            <w:tcW w:w="816" w:type="dxa"/>
          </w:tcPr>
          <w:p w:rsidR="00CF6624" w:rsidRDefault="00CF6624" w:rsidP="000C016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5,7</w:t>
            </w:r>
          </w:p>
        </w:tc>
      </w:tr>
    </w:tbl>
    <w:p w:rsidR="000C016E" w:rsidRPr="000C016E" w:rsidRDefault="000C016E" w:rsidP="000C016E">
      <w:pPr>
        <w:spacing w:after="0" w:line="240" w:lineRule="auto"/>
        <w:ind w:firstLine="284"/>
        <w:contextualSpacing/>
        <w:jc w:val="both"/>
        <w:rPr>
          <w:rFonts w:ascii="Arial" w:hAnsi="Arial" w:cs="Arial"/>
          <w:b/>
          <w:color w:val="1A1A1A" w:themeColor="background1" w:themeShade="1A"/>
          <w:sz w:val="20"/>
          <w:szCs w:val="20"/>
        </w:rPr>
      </w:pPr>
    </w:p>
    <w:p w:rsidR="000C016E" w:rsidRDefault="000C016E" w:rsidP="000C016E">
      <w:pPr>
        <w:spacing w:after="0" w:line="240" w:lineRule="auto"/>
        <w:ind w:firstLine="284"/>
        <w:contextualSpacing/>
        <w:jc w:val="both"/>
        <w:rPr>
          <w:rFonts w:ascii="Arial" w:hAnsi="Arial" w:cs="Arial"/>
          <w:b/>
          <w:color w:val="1A1A1A" w:themeColor="background1" w:themeShade="1A"/>
          <w:sz w:val="20"/>
          <w:szCs w:val="20"/>
        </w:rPr>
      </w:pPr>
      <w:r w:rsidRPr="000C016E">
        <w:rPr>
          <w:rFonts w:ascii="Arial" w:hAnsi="Arial" w:cs="Arial"/>
          <w:b/>
          <w:color w:val="1A1A1A" w:themeColor="background1" w:themeShade="1A"/>
          <w:sz w:val="20"/>
          <w:szCs w:val="20"/>
        </w:rPr>
        <w:t xml:space="preserve"> Инвестиции в основной капитал</w:t>
      </w:r>
      <w:r w:rsidRPr="000C016E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в 2016 г. составили 10 993,7 млрд. рублей (для сравнения: 2016/2015 - 98,8 % (10 861,8 млрд. руб.), 2015/2014 - 80,7 % (13 460 млрд. руб.))  – Положительная динамика после значительного снижения 2015 года.</w:t>
      </w:r>
    </w:p>
    <w:p w:rsidR="00D40227" w:rsidRDefault="00DE5E69" w:rsidP="000C016E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b/>
          <w:color w:val="1A1A1A" w:themeColor="background1" w:themeShade="1A"/>
          <w:sz w:val="20"/>
          <w:szCs w:val="20"/>
        </w:rPr>
        <w:t xml:space="preserve">Инфляция 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за период </w:t>
      </w:r>
      <w:r w:rsidR="005F1D59">
        <w:rPr>
          <w:rFonts w:ascii="Arial" w:hAnsi="Arial" w:cs="Arial"/>
          <w:color w:val="1A1A1A" w:themeColor="background1" w:themeShade="1A"/>
          <w:sz w:val="20"/>
          <w:szCs w:val="20"/>
        </w:rPr>
        <w:t>февраль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2016 г. – </w:t>
      </w:r>
      <w:r w:rsidR="005F1D59">
        <w:rPr>
          <w:rFonts w:ascii="Arial" w:hAnsi="Arial" w:cs="Arial"/>
          <w:color w:val="1A1A1A" w:themeColor="background1" w:themeShade="1A"/>
          <w:sz w:val="20"/>
          <w:szCs w:val="20"/>
        </w:rPr>
        <w:t>февраль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2017 г. составила </w:t>
      </w:r>
      <w:r w:rsidR="005F1D59">
        <w:rPr>
          <w:rFonts w:ascii="Arial" w:hAnsi="Arial" w:cs="Arial"/>
          <w:color w:val="1A1A1A" w:themeColor="background1" w:themeShade="1A"/>
          <w:sz w:val="20"/>
          <w:szCs w:val="20"/>
        </w:rPr>
        <w:t xml:space="preserve">4,6 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%</w:t>
      </w:r>
    </w:p>
    <w:p w:rsidR="00DE5E69" w:rsidRPr="006218A3" w:rsidRDefault="00B7360D" w:rsidP="00D40227">
      <w:pPr>
        <w:spacing w:after="0" w:line="240" w:lineRule="auto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– Положительная </w:t>
      </w:r>
      <w:r w:rsidR="00D4022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динамика. Для сравнения: по итогам за 2014 г. – 11,4 %, по итогам за 2015 г. – 12,9 %, по итогам за 2016 г. – 5,4 %.  </w:t>
      </w:r>
    </w:p>
    <w:p w:rsidR="00D40227" w:rsidRDefault="00DE5E69" w:rsidP="00D65C12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b/>
          <w:color w:val="1A1A1A" w:themeColor="background1" w:themeShade="1A"/>
          <w:sz w:val="20"/>
          <w:szCs w:val="20"/>
        </w:rPr>
        <w:t>Ключевая ставка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 19.09.2016 года составляет 10 %.</w:t>
      </w:r>
      <w:r w:rsidR="00D4022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DE5E69" w:rsidRPr="006218A3" w:rsidRDefault="00D40227" w:rsidP="00D40227">
      <w:pPr>
        <w:spacing w:after="0" w:line="240" w:lineRule="auto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– Положительная динамика</w:t>
      </w:r>
      <w:r w:rsidR="00351F0E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за период с декабря 2014 года, когда ставка была принята в размере 17 %.</w:t>
      </w:r>
    </w:p>
    <w:p w:rsidR="00DE5E69" w:rsidRPr="006218A3" w:rsidRDefault="00DE5E69" w:rsidP="00D65C12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b/>
          <w:color w:val="1A1A1A" w:themeColor="background1" w:themeShade="1A"/>
          <w:sz w:val="20"/>
          <w:szCs w:val="20"/>
        </w:rPr>
        <w:t xml:space="preserve">Объем </w:t>
      </w:r>
      <w:proofErr w:type="gramStart"/>
      <w:r w:rsidRPr="006218A3">
        <w:rPr>
          <w:rFonts w:ascii="Arial" w:hAnsi="Arial" w:cs="Arial"/>
          <w:b/>
          <w:color w:val="1A1A1A" w:themeColor="background1" w:themeShade="1A"/>
          <w:sz w:val="20"/>
          <w:szCs w:val="20"/>
        </w:rPr>
        <w:t>кредитов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, предоставленных юридическим л</w:t>
      </w:r>
      <w:r w:rsidR="004F602D">
        <w:rPr>
          <w:rFonts w:ascii="Arial" w:hAnsi="Arial" w:cs="Arial"/>
          <w:color w:val="1A1A1A" w:themeColor="background1" w:themeShade="1A"/>
          <w:sz w:val="20"/>
          <w:szCs w:val="20"/>
        </w:rPr>
        <w:t>ицам и предпринимателям на 01.01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.201</w:t>
      </w:r>
      <w:r w:rsidR="004F602D">
        <w:rPr>
          <w:rFonts w:ascii="Arial" w:hAnsi="Arial" w:cs="Arial"/>
          <w:color w:val="1A1A1A" w:themeColor="background1" w:themeShade="1A"/>
          <w:sz w:val="20"/>
          <w:szCs w:val="20"/>
        </w:rPr>
        <w:t>7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года составил</w:t>
      </w:r>
      <w:proofErr w:type="gramEnd"/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4F602D" w:rsidRPr="002025A3">
        <w:rPr>
          <w:rFonts w:ascii="Arial" w:hAnsi="Arial" w:cs="Arial"/>
          <w:color w:val="000000"/>
          <w:sz w:val="20"/>
          <w:szCs w:val="20"/>
        </w:rPr>
        <w:t>32 395 606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млн.</w:t>
      </w:r>
      <w:r w:rsidR="00D4022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руб. (+</w:t>
      </w:r>
      <w:r w:rsidR="004F602D">
        <w:rPr>
          <w:rFonts w:ascii="Arial" w:hAnsi="Arial" w:cs="Arial"/>
          <w:color w:val="1A1A1A" w:themeColor="background1" w:themeShade="1A"/>
          <w:sz w:val="20"/>
          <w:szCs w:val="20"/>
        </w:rPr>
        <w:t>8,0 %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к 01.</w:t>
      </w:r>
      <w:r w:rsidR="004F602D">
        <w:rPr>
          <w:rFonts w:ascii="Arial" w:hAnsi="Arial" w:cs="Arial"/>
          <w:color w:val="1A1A1A" w:themeColor="background1" w:themeShade="1A"/>
          <w:sz w:val="20"/>
          <w:szCs w:val="20"/>
        </w:rPr>
        <w:t>01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.201</w:t>
      </w:r>
      <w:r w:rsidR="004F602D">
        <w:rPr>
          <w:rFonts w:ascii="Arial" w:hAnsi="Arial" w:cs="Arial"/>
          <w:color w:val="1A1A1A" w:themeColor="background1" w:themeShade="1A"/>
          <w:sz w:val="20"/>
          <w:szCs w:val="20"/>
        </w:rPr>
        <w:t>6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г.).</w:t>
      </w:r>
      <w:r w:rsidR="00130A88" w:rsidRPr="00130A88">
        <w:rPr>
          <w:rFonts w:ascii="Arial" w:hAnsi="Arial" w:cs="Arial"/>
          <w:sz w:val="20"/>
          <w:szCs w:val="20"/>
        </w:rPr>
        <w:t xml:space="preserve"> </w:t>
      </w:r>
      <w:r w:rsidR="00130A88">
        <w:rPr>
          <w:rFonts w:ascii="Arial" w:hAnsi="Arial" w:cs="Arial"/>
          <w:sz w:val="20"/>
          <w:szCs w:val="20"/>
        </w:rPr>
        <w:t xml:space="preserve"> </w:t>
      </w:r>
      <w:r w:rsidR="004F602D">
        <w:rPr>
          <w:rFonts w:ascii="Arial" w:hAnsi="Arial" w:cs="Arial"/>
          <w:sz w:val="20"/>
          <w:szCs w:val="20"/>
        </w:rPr>
        <w:t>– Положительная динамика.</w:t>
      </w:r>
    </w:p>
    <w:p w:rsidR="00102E5A" w:rsidRDefault="00DE5E69" w:rsidP="00130A88">
      <w:pPr>
        <w:spacing w:before="24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6218A3">
        <w:rPr>
          <w:rFonts w:ascii="Arial" w:hAnsi="Arial" w:cs="Arial"/>
          <w:b/>
          <w:sz w:val="20"/>
          <w:szCs w:val="20"/>
        </w:rPr>
        <w:t xml:space="preserve">Золотовалютные </w:t>
      </w:r>
      <w:hyperlink r:id="rId9" w:history="1">
        <w:r w:rsidRPr="006218A3">
          <w:rPr>
            <w:rStyle w:val="a4"/>
            <w:rFonts w:ascii="Arial" w:hAnsi="Arial" w:cs="Arial"/>
            <w:b/>
            <w:sz w:val="20"/>
            <w:szCs w:val="20"/>
          </w:rPr>
          <w:t>резервы государства</w:t>
        </w:r>
      </w:hyperlink>
      <w:r w:rsidRPr="006218A3">
        <w:rPr>
          <w:rFonts w:ascii="Arial" w:hAnsi="Arial" w:cs="Arial"/>
          <w:sz w:val="20"/>
          <w:szCs w:val="20"/>
        </w:rPr>
        <w:t xml:space="preserve"> по состоянию на </w:t>
      </w:r>
      <w:r w:rsidR="00130A88" w:rsidRPr="00130A88">
        <w:rPr>
          <w:rFonts w:ascii="Arial" w:hAnsi="Arial" w:cs="Arial"/>
          <w:sz w:val="20"/>
          <w:szCs w:val="20"/>
        </w:rPr>
        <w:t>03.03.2017</w:t>
      </w:r>
      <w:r w:rsidR="00130A88">
        <w:rPr>
          <w:rFonts w:ascii="Arial" w:hAnsi="Arial" w:cs="Arial"/>
          <w:sz w:val="20"/>
          <w:szCs w:val="20"/>
        </w:rPr>
        <w:t xml:space="preserve">  составили </w:t>
      </w:r>
      <w:r w:rsidR="00130A88" w:rsidRPr="00130A88">
        <w:rPr>
          <w:rFonts w:ascii="Arial" w:hAnsi="Arial" w:cs="Arial"/>
          <w:sz w:val="20"/>
          <w:szCs w:val="20"/>
        </w:rPr>
        <w:t>393,4</w:t>
      </w:r>
      <w:r w:rsidRPr="006218A3">
        <w:rPr>
          <w:rFonts w:ascii="Arial" w:hAnsi="Arial" w:cs="Arial"/>
          <w:sz w:val="20"/>
          <w:szCs w:val="20"/>
        </w:rPr>
        <w:t xml:space="preserve"> млрд. долл. США.</w:t>
      </w:r>
    </w:p>
    <w:p w:rsidR="00F51135" w:rsidRPr="00F51135" w:rsidRDefault="00102E5A" w:rsidP="00F51135">
      <w:pPr>
        <w:spacing w:before="240" w:line="240" w:lineRule="auto"/>
        <w:ind w:firstLine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102E5A">
        <w:rPr>
          <w:rFonts w:ascii="Arial" w:hAnsi="Arial" w:cs="Arial"/>
          <w:b/>
          <w:sz w:val="20"/>
          <w:szCs w:val="20"/>
        </w:rPr>
        <w:t xml:space="preserve"> </w:t>
      </w:r>
      <w:r w:rsidRPr="006F43E3">
        <w:rPr>
          <w:rFonts w:ascii="Arial" w:hAnsi="Arial" w:cs="Arial"/>
          <w:b/>
          <w:sz w:val="20"/>
          <w:szCs w:val="20"/>
        </w:rPr>
        <w:t xml:space="preserve">Строительство. </w:t>
      </w:r>
      <w:r w:rsidR="009537B4" w:rsidRPr="009537B4">
        <w:rPr>
          <w:rFonts w:ascii="Arial" w:hAnsi="Arial" w:cs="Arial"/>
          <w:sz w:val="20"/>
          <w:szCs w:val="20"/>
        </w:rPr>
        <w:t>Общий строительный объем</w:t>
      </w:r>
      <w:r w:rsidR="009537B4">
        <w:rPr>
          <w:rFonts w:ascii="Arial" w:hAnsi="Arial" w:cs="Arial"/>
          <w:b/>
          <w:sz w:val="20"/>
          <w:szCs w:val="20"/>
        </w:rPr>
        <w:t xml:space="preserve"> </w:t>
      </w:r>
      <w:r w:rsidR="009537B4">
        <w:rPr>
          <w:rFonts w:ascii="Arial" w:hAnsi="Arial" w:cs="Arial"/>
          <w:sz w:val="20"/>
          <w:szCs w:val="20"/>
        </w:rPr>
        <w:t>вве</w:t>
      </w:r>
      <w:r w:rsidR="009537B4" w:rsidRPr="009537B4">
        <w:rPr>
          <w:rFonts w:ascii="Arial" w:hAnsi="Arial" w:cs="Arial"/>
          <w:sz w:val="20"/>
          <w:szCs w:val="20"/>
        </w:rPr>
        <w:t>д</w:t>
      </w:r>
      <w:r w:rsidR="009537B4">
        <w:rPr>
          <w:rFonts w:ascii="Arial" w:hAnsi="Arial" w:cs="Arial"/>
          <w:sz w:val="20"/>
          <w:szCs w:val="20"/>
        </w:rPr>
        <w:t>ённых</w:t>
      </w:r>
      <w:r w:rsidR="009537B4" w:rsidRPr="009537B4">
        <w:rPr>
          <w:rFonts w:ascii="Arial" w:hAnsi="Arial" w:cs="Arial"/>
          <w:sz w:val="20"/>
          <w:szCs w:val="20"/>
        </w:rPr>
        <w:t xml:space="preserve"> в действие зданий </w:t>
      </w:r>
      <w:r w:rsidR="00F51135" w:rsidRPr="00F51135">
        <w:rPr>
          <w:rFonts w:ascii="Arial" w:hAnsi="Arial" w:cs="Arial"/>
          <w:bCs/>
          <w:sz w:val="20"/>
          <w:szCs w:val="20"/>
        </w:rPr>
        <w:t>584,3</w:t>
      </w:r>
      <w:r w:rsidR="00F51135" w:rsidRPr="00F51135">
        <w:rPr>
          <w:rFonts w:ascii="Arial" w:hAnsi="Arial" w:cs="Arial"/>
          <w:sz w:val="20"/>
          <w:szCs w:val="20"/>
        </w:rPr>
        <w:t xml:space="preserve"> </w:t>
      </w:r>
      <w:r w:rsidR="00F51135" w:rsidRPr="009537B4">
        <w:rPr>
          <w:rFonts w:ascii="Arial" w:hAnsi="Arial" w:cs="Arial"/>
          <w:sz w:val="20"/>
          <w:szCs w:val="20"/>
        </w:rPr>
        <w:t>млн. м</w:t>
      </w:r>
      <w:r w:rsidR="00F51135" w:rsidRPr="00F51135">
        <w:rPr>
          <w:rFonts w:ascii="Arial" w:hAnsi="Arial" w:cs="Arial"/>
          <w:sz w:val="20"/>
          <w:szCs w:val="20"/>
          <w:vertAlign w:val="superscript"/>
        </w:rPr>
        <w:t>3</w:t>
      </w:r>
      <w:r w:rsidR="00F51135">
        <w:rPr>
          <w:rFonts w:ascii="Arial" w:hAnsi="Arial" w:cs="Arial"/>
          <w:sz w:val="20"/>
          <w:szCs w:val="20"/>
        </w:rPr>
        <w:t>, в т. ч.</w:t>
      </w:r>
    </w:p>
    <w:p w:rsidR="00102E5A" w:rsidRDefault="00F51135" w:rsidP="009537B4">
      <w:pPr>
        <w:spacing w:before="24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537B4" w:rsidRPr="009537B4">
        <w:rPr>
          <w:rFonts w:ascii="Arial" w:hAnsi="Arial" w:cs="Arial"/>
          <w:sz w:val="20"/>
          <w:szCs w:val="20"/>
        </w:rPr>
        <w:t xml:space="preserve">жилого </w:t>
      </w:r>
      <w:r w:rsidRPr="00F51135">
        <w:rPr>
          <w:rFonts w:ascii="Arial" w:hAnsi="Arial" w:cs="Arial"/>
          <w:sz w:val="20"/>
          <w:szCs w:val="20"/>
        </w:rPr>
        <w:t>399,8</w:t>
      </w:r>
      <w:r>
        <w:rPr>
          <w:rFonts w:ascii="Arial" w:hAnsi="Arial" w:cs="Arial"/>
          <w:sz w:val="20"/>
          <w:szCs w:val="20"/>
        </w:rPr>
        <w:t xml:space="preserve">  </w:t>
      </w:r>
      <w:r w:rsidRPr="009537B4">
        <w:rPr>
          <w:rFonts w:ascii="Arial" w:hAnsi="Arial" w:cs="Arial"/>
          <w:sz w:val="20"/>
          <w:szCs w:val="20"/>
        </w:rPr>
        <w:t>млн. м</w:t>
      </w:r>
      <w:r w:rsidRPr="00F51135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537B4" w:rsidRPr="009537B4">
        <w:rPr>
          <w:rFonts w:ascii="Arial" w:hAnsi="Arial" w:cs="Arial"/>
          <w:sz w:val="20"/>
          <w:szCs w:val="20"/>
        </w:rPr>
        <w:t>и нежилого назначения</w:t>
      </w:r>
      <w:r w:rsidR="009537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51135">
        <w:rPr>
          <w:rFonts w:ascii="Arial" w:hAnsi="Arial" w:cs="Arial"/>
          <w:sz w:val="20"/>
          <w:szCs w:val="20"/>
        </w:rPr>
        <w:t xml:space="preserve">184,5 </w:t>
      </w:r>
      <w:r w:rsidRPr="009537B4">
        <w:rPr>
          <w:rFonts w:ascii="Arial" w:hAnsi="Arial" w:cs="Arial"/>
          <w:sz w:val="20"/>
          <w:szCs w:val="20"/>
        </w:rPr>
        <w:t>млн. м</w:t>
      </w:r>
      <w:r w:rsidRPr="00F51135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F51135" w:rsidRPr="00F51135" w:rsidRDefault="00F51135" w:rsidP="00F51135">
      <w:pPr>
        <w:spacing w:before="24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снижение </w:t>
      </w:r>
      <w:r w:rsidR="00DC423A"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0"/>
          <w:szCs w:val="20"/>
        </w:rPr>
        <w:t>2016 год</w:t>
      </w:r>
      <w:r w:rsidR="00DC423A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сопоставимо с периодом 2009 – 2010 года</w:t>
      </w:r>
      <w:r w:rsidR="00DC423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C423A">
        <w:rPr>
          <w:rFonts w:ascii="Arial" w:hAnsi="Arial" w:cs="Arial"/>
          <w:sz w:val="20"/>
          <w:szCs w:val="20"/>
        </w:rPr>
        <w:t>Однако</w:t>
      </w:r>
      <w:r>
        <w:rPr>
          <w:rFonts w:ascii="Arial" w:hAnsi="Arial" w:cs="Arial"/>
          <w:sz w:val="20"/>
          <w:szCs w:val="20"/>
        </w:rPr>
        <w:t xml:space="preserve"> это снижение объяснимо не только </w:t>
      </w:r>
      <w:r w:rsidR="00DC423A">
        <w:rPr>
          <w:rFonts w:ascii="Arial" w:hAnsi="Arial" w:cs="Arial"/>
          <w:sz w:val="20"/>
          <w:szCs w:val="20"/>
        </w:rPr>
        <w:t>общеэкономическими трудностями 2015 – 2016 гг., но, прежде всего, высокими темпами роста в предшествующий период 2012-2014 гг.: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a5"/>
        <w:tblW w:w="4877" w:type="pct"/>
        <w:tblLook w:val="04A0" w:firstRow="1" w:lastRow="0" w:firstColumn="1" w:lastColumn="0" w:noHBand="0" w:noVBand="1"/>
      </w:tblPr>
      <w:tblGrid>
        <w:gridCol w:w="1949"/>
        <w:gridCol w:w="883"/>
        <w:gridCol w:w="861"/>
        <w:gridCol w:w="860"/>
        <w:gridCol w:w="943"/>
        <w:gridCol w:w="850"/>
        <w:gridCol w:w="852"/>
        <w:gridCol w:w="850"/>
        <w:gridCol w:w="852"/>
        <w:gridCol w:w="989"/>
      </w:tblGrid>
      <w:tr w:rsidR="009537B4" w:rsidRPr="006B7C9A" w:rsidTr="009537B4">
        <w:trPr>
          <w:trHeight w:val="390"/>
        </w:trPr>
        <w:tc>
          <w:tcPr>
            <w:tcW w:w="985" w:type="pct"/>
            <w:shd w:val="clear" w:color="auto" w:fill="DAEEF3" w:themeFill="accent5" w:themeFillTint="33"/>
            <w:vAlign w:val="center"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Годы</w:t>
            </w:r>
          </w:p>
        </w:tc>
        <w:tc>
          <w:tcPr>
            <w:tcW w:w="446" w:type="pct"/>
            <w:shd w:val="clear" w:color="auto" w:fill="DAEEF3" w:themeFill="accent5" w:themeFillTint="33"/>
            <w:vAlign w:val="center"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435" w:type="pct"/>
            <w:shd w:val="clear" w:color="auto" w:fill="DAEEF3" w:themeFill="accent5" w:themeFillTint="33"/>
            <w:vAlign w:val="center"/>
            <w:hideMark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435" w:type="pct"/>
            <w:shd w:val="clear" w:color="auto" w:fill="DAEEF3" w:themeFill="accent5" w:themeFillTint="33"/>
            <w:vAlign w:val="center"/>
            <w:hideMark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  <w:hideMark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431" w:type="pct"/>
            <w:shd w:val="clear" w:color="auto" w:fill="DAEEF3" w:themeFill="accent5" w:themeFillTint="33"/>
            <w:vAlign w:val="center"/>
            <w:hideMark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431" w:type="pct"/>
            <w:shd w:val="clear" w:color="auto" w:fill="DAEEF3" w:themeFill="accent5" w:themeFillTint="33"/>
            <w:vAlign w:val="center"/>
            <w:hideMark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500" w:type="pct"/>
            <w:shd w:val="clear" w:color="auto" w:fill="DAEEF3" w:themeFill="accent5" w:themeFillTint="33"/>
            <w:vAlign w:val="center"/>
            <w:hideMark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9537B4" w:rsidRPr="006B7C9A" w:rsidTr="009537B4">
        <w:trPr>
          <w:trHeight w:val="255"/>
        </w:trPr>
        <w:tc>
          <w:tcPr>
            <w:tcW w:w="985" w:type="pct"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предыдущему году, %</w:t>
            </w:r>
          </w:p>
        </w:tc>
        <w:tc>
          <w:tcPr>
            <w:tcW w:w="446" w:type="pct"/>
            <w:vAlign w:val="center"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+8</w:t>
            </w:r>
          </w:p>
        </w:tc>
        <w:tc>
          <w:tcPr>
            <w:tcW w:w="435" w:type="pct"/>
            <w:noWrap/>
            <w:vAlign w:val="center"/>
            <w:hideMark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435" w:type="pct"/>
            <w:noWrap/>
            <w:vAlign w:val="center"/>
            <w:hideMark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</w:t>
            </w:r>
          </w:p>
        </w:tc>
        <w:tc>
          <w:tcPr>
            <w:tcW w:w="477" w:type="pct"/>
            <w:noWrap/>
            <w:vAlign w:val="center"/>
            <w:hideMark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+6</w:t>
            </w:r>
          </w:p>
        </w:tc>
        <w:tc>
          <w:tcPr>
            <w:tcW w:w="430" w:type="pct"/>
            <w:noWrap/>
            <w:vAlign w:val="center"/>
            <w:hideMark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+15</w:t>
            </w:r>
          </w:p>
        </w:tc>
        <w:tc>
          <w:tcPr>
            <w:tcW w:w="431" w:type="pct"/>
            <w:noWrap/>
            <w:vAlign w:val="center"/>
            <w:hideMark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+8</w:t>
            </w:r>
          </w:p>
        </w:tc>
        <w:tc>
          <w:tcPr>
            <w:tcW w:w="430" w:type="pct"/>
            <w:noWrap/>
            <w:vAlign w:val="center"/>
            <w:hideMark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+17</w:t>
            </w:r>
          </w:p>
        </w:tc>
        <w:tc>
          <w:tcPr>
            <w:tcW w:w="431" w:type="pct"/>
            <w:noWrap/>
            <w:vAlign w:val="center"/>
            <w:hideMark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500" w:type="pct"/>
            <w:noWrap/>
            <w:vAlign w:val="center"/>
            <w:hideMark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</w:t>
            </w:r>
          </w:p>
        </w:tc>
      </w:tr>
    </w:tbl>
    <w:p w:rsidR="00F70777" w:rsidRPr="00C171FB" w:rsidRDefault="00C171FB" w:rsidP="00C171FB">
      <w:pPr>
        <w:spacing w:before="240" w:after="0" w:line="240" w:lineRule="auto"/>
        <w:ind w:firstLine="284"/>
        <w:jc w:val="center"/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  <w:lastRenderedPageBreak/>
        <w:t>Выводы и прогнозы</w:t>
      </w:r>
    </w:p>
    <w:p w:rsidR="00522752" w:rsidRDefault="00C171FB" w:rsidP="00D65C12">
      <w:pPr>
        <w:spacing w:after="0" w:line="240" w:lineRule="auto"/>
        <w:ind w:firstLine="284"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Динамика основных экономических показателей положительна, а и</w:t>
      </w:r>
      <w:r w:rsidR="00DE5E69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>нфляция стабилизирован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а</w:t>
      </w:r>
      <w:r w:rsidR="00DE5E69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до</w:t>
      </w:r>
      <w:r w:rsidR="00823AD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уровня, позволяющего снизить </w:t>
      </w:r>
      <w:r w:rsidR="00DE5E69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>ключевую ставку</w:t>
      </w:r>
      <w:r w:rsidR="00A852D0">
        <w:rPr>
          <w:rFonts w:ascii="Arial" w:hAnsi="Arial" w:cs="Arial"/>
          <w:bCs/>
          <w:color w:val="1A1A1A" w:themeColor="background1" w:themeShade="1A"/>
          <w:sz w:val="20"/>
          <w:szCs w:val="20"/>
        </w:rPr>
        <w:t>. Э</w:t>
      </w:r>
      <w:r w:rsidR="00DE5E69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то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активизирует </w:t>
      </w:r>
      <w:r w:rsidR="00522752">
        <w:rPr>
          <w:rFonts w:ascii="Arial" w:hAnsi="Arial" w:cs="Arial"/>
          <w:bCs/>
          <w:color w:val="1A1A1A" w:themeColor="background1" w:themeShade="1A"/>
          <w:sz w:val="20"/>
          <w:szCs w:val="20"/>
        </w:rPr>
        <w:t>кредитование и инвестиционную активность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DE5E69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стимулирует предпринимательство и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повысит </w:t>
      </w:r>
      <w:r w:rsidR="00DE5E69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>спрос населения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и бизнеса.</w:t>
      </w:r>
      <w:r w:rsidR="00DE5E69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A852D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Положительное </w:t>
      </w:r>
      <w:r w:rsidR="00692BCA">
        <w:rPr>
          <w:rFonts w:ascii="Arial" w:hAnsi="Arial" w:cs="Arial"/>
          <w:bCs/>
          <w:color w:val="1A1A1A" w:themeColor="background1" w:themeShade="1A"/>
          <w:sz w:val="20"/>
          <w:szCs w:val="20"/>
        </w:rPr>
        <w:t>влияние</w:t>
      </w:r>
      <w:r w:rsidR="00A852D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692BCA">
        <w:rPr>
          <w:rFonts w:ascii="Arial" w:hAnsi="Arial" w:cs="Arial"/>
          <w:bCs/>
          <w:color w:val="1A1A1A" w:themeColor="background1" w:themeShade="1A"/>
          <w:sz w:val="20"/>
          <w:szCs w:val="20"/>
        </w:rPr>
        <w:t>окажут накопления организаций и населения.</w:t>
      </w:r>
      <w:r w:rsidR="00A852D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522752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Экономический рост возобновится. </w:t>
      </w:r>
      <w:r w:rsidR="00522752">
        <w:rPr>
          <w:rFonts w:ascii="Arial" w:hAnsi="Arial" w:cs="Arial"/>
          <w:color w:val="1A1A1A" w:themeColor="background1" w:themeShade="1A"/>
          <w:sz w:val="20"/>
          <w:szCs w:val="20"/>
        </w:rPr>
        <w:t>Обеспеченность России всеми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ключевы</w:t>
      </w:r>
      <w:r w:rsidR="00522752">
        <w:rPr>
          <w:rFonts w:ascii="Arial" w:hAnsi="Arial" w:cs="Arial"/>
          <w:color w:val="1A1A1A" w:themeColor="background1" w:themeShade="1A"/>
          <w:sz w:val="20"/>
          <w:szCs w:val="20"/>
        </w:rPr>
        <w:t>ми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ресурс</w:t>
      </w:r>
      <w:r w:rsidR="00522752">
        <w:rPr>
          <w:rFonts w:ascii="Arial" w:hAnsi="Arial" w:cs="Arial"/>
          <w:color w:val="1A1A1A" w:themeColor="background1" w:themeShade="1A"/>
          <w:sz w:val="20"/>
          <w:szCs w:val="20"/>
        </w:rPr>
        <w:t>ами (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>земля, развитая эн</w:t>
      </w:r>
      <w:r w:rsidR="00522752">
        <w:rPr>
          <w:rFonts w:ascii="Arial" w:hAnsi="Arial" w:cs="Arial"/>
          <w:color w:val="1A1A1A" w:themeColor="background1" w:themeShade="1A"/>
          <w:sz w:val="20"/>
          <w:szCs w:val="20"/>
        </w:rPr>
        <w:t xml:space="preserve">ергетика, 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сырьё, недорогая </w:t>
      </w:r>
      <w:r w:rsidR="00522752">
        <w:rPr>
          <w:rFonts w:ascii="Arial" w:hAnsi="Arial" w:cs="Arial"/>
          <w:color w:val="1A1A1A" w:themeColor="background1" w:themeShade="1A"/>
          <w:sz w:val="20"/>
          <w:szCs w:val="20"/>
        </w:rPr>
        <w:t xml:space="preserve">и мотивированная 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>рабочая сила</w:t>
      </w:r>
      <w:r w:rsidR="00522752">
        <w:rPr>
          <w:rFonts w:ascii="Arial" w:hAnsi="Arial" w:cs="Arial"/>
          <w:color w:val="1A1A1A" w:themeColor="background1" w:themeShade="1A"/>
          <w:sz w:val="20"/>
          <w:szCs w:val="20"/>
        </w:rPr>
        <w:t xml:space="preserve">) способствует </w:t>
      </w:r>
      <w:r w:rsidR="00522752">
        <w:rPr>
          <w:rFonts w:ascii="Arial" w:hAnsi="Arial" w:cs="Arial"/>
          <w:bCs/>
          <w:color w:val="1A1A1A" w:themeColor="background1" w:themeShade="1A"/>
          <w:sz w:val="20"/>
          <w:szCs w:val="20"/>
        </w:rPr>
        <w:t>стабильному и длительному росту.</w:t>
      </w:r>
    </w:p>
    <w:p w:rsidR="00DE5E69" w:rsidRPr="006218A3" w:rsidRDefault="00DE5E69" w:rsidP="00D65C12">
      <w:pPr>
        <w:spacing w:after="0" w:line="240" w:lineRule="auto"/>
        <w:ind w:firstLine="284"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Учитывая количественную и географическую ограниченность мировой добычи природных ресурсов, углеводороды (нефть и газ) сохранят свою значимость и в будущем. В условиях расширяющегося мирового потребления ресурсов, в условиях повышения себестоимости их добычи рын</w:t>
      </w:r>
      <w:r w:rsidR="00A852D0">
        <w:rPr>
          <w:rFonts w:ascii="Arial" w:hAnsi="Arial" w:cs="Arial"/>
          <w:color w:val="1A1A1A" w:themeColor="background1" w:themeShade="1A"/>
          <w:sz w:val="20"/>
          <w:szCs w:val="20"/>
        </w:rPr>
        <w:t>ки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нефти и газа</w:t>
      </w: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буд</w:t>
      </w:r>
      <w:r w:rsidR="00A852D0">
        <w:rPr>
          <w:rFonts w:ascii="Arial" w:hAnsi="Arial" w:cs="Arial"/>
          <w:bCs/>
          <w:color w:val="1A1A1A" w:themeColor="background1" w:themeShade="1A"/>
          <w:sz w:val="20"/>
          <w:szCs w:val="20"/>
        </w:rPr>
        <w:t>у</w:t>
      </w: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т расти даже при развитии новых источников энергии. Востребованность энергоносителей и сырья сохранится даже с учетом цикличности развития мировой экономики (и политики), благодаря чему Россия имеет </w:t>
      </w:r>
      <w:r w:rsidR="00A852D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самую </w:t>
      </w: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>высокую инвестиционную</w:t>
      </w:r>
      <w:r w:rsidR="00A852D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>перспективу.</w:t>
      </w:r>
    </w:p>
    <w:p w:rsidR="00DE5E69" w:rsidRPr="006218A3" w:rsidRDefault="00DE5E69" w:rsidP="00D65C12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Учитывая низкую «базу», большие перспективы в ближайшие несколько лет имеют: производство энергетического оборудования и другие энергоемкие производства, станкостроение, транспортное машиностроение, авиастроение, автомобилестроение, производство строительных машин и оборудования, оборудования химического производства, сельскохозяйственное машиностроение. Под это будут строиться новые энергоэффективные производственные комплексы, логистическая сеть, инженерно-транспортная инфраструктура. </w:t>
      </w:r>
      <w:r w:rsidR="00A852D0">
        <w:rPr>
          <w:rFonts w:ascii="Arial" w:hAnsi="Arial" w:cs="Arial"/>
          <w:color w:val="1A1A1A" w:themeColor="background1" w:themeShade="1A"/>
          <w:sz w:val="20"/>
          <w:szCs w:val="20"/>
        </w:rPr>
        <w:t>Параллельно з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начительное развитие получат городская инфраструктура и жилищно-коммунальная сфера.  </w:t>
      </w:r>
    </w:p>
    <w:p w:rsidR="00A852D0" w:rsidRDefault="00DE5E69" w:rsidP="00692BCA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Важной основой </w:t>
      </w:r>
      <w:r w:rsidR="00692BCA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стабилизации и </w:t>
      </w:r>
      <w:r w:rsidR="00A852D0">
        <w:rPr>
          <w:rFonts w:ascii="Arial" w:hAnsi="Arial" w:cs="Arial"/>
          <w:color w:val="1A1A1A" w:themeColor="background1" w:themeShade="1A"/>
          <w:sz w:val="20"/>
          <w:szCs w:val="20"/>
        </w:rPr>
        <w:t>роста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экономики являются государственные целевые программы и проекты, которые поддерживают экономику, </w:t>
      </w:r>
      <w:r w:rsidR="00A852D0">
        <w:rPr>
          <w:rFonts w:ascii="Arial" w:hAnsi="Arial" w:cs="Arial"/>
          <w:color w:val="1A1A1A" w:themeColor="background1" w:themeShade="1A"/>
          <w:sz w:val="20"/>
          <w:szCs w:val="20"/>
        </w:rPr>
        <w:t xml:space="preserve">улучшают отраслевую структуру, 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разгоняют спрос на рынках и </w:t>
      </w:r>
      <w:r w:rsidR="00A852D0">
        <w:rPr>
          <w:rFonts w:ascii="Arial" w:hAnsi="Arial" w:cs="Arial"/>
          <w:color w:val="1A1A1A" w:themeColor="background1" w:themeShade="1A"/>
          <w:sz w:val="20"/>
          <w:szCs w:val="20"/>
        </w:rPr>
        <w:t xml:space="preserve">активизируют 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инвестиционные процессы. </w:t>
      </w:r>
      <w:r w:rsidR="00692BCA">
        <w:rPr>
          <w:rFonts w:ascii="Arial" w:hAnsi="Arial" w:cs="Arial"/>
          <w:color w:val="1A1A1A" w:themeColor="background1" w:themeShade="1A"/>
          <w:sz w:val="20"/>
          <w:szCs w:val="20"/>
        </w:rPr>
        <w:t xml:space="preserve">Учитывая снижение доходов </w:t>
      </w:r>
      <w:r w:rsidR="00EA5D46">
        <w:rPr>
          <w:rFonts w:ascii="Arial" w:hAnsi="Arial" w:cs="Arial"/>
          <w:color w:val="1A1A1A" w:themeColor="background1" w:themeShade="1A"/>
          <w:sz w:val="20"/>
          <w:szCs w:val="20"/>
        </w:rPr>
        <w:t>гос</w:t>
      </w:r>
      <w:r w:rsidR="00692BCA">
        <w:rPr>
          <w:rFonts w:ascii="Arial" w:hAnsi="Arial" w:cs="Arial"/>
          <w:color w:val="1A1A1A" w:themeColor="background1" w:themeShade="1A"/>
          <w:sz w:val="20"/>
          <w:szCs w:val="20"/>
        </w:rPr>
        <w:t xml:space="preserve">бюджета </w:t>
      </w:r>
      <w:r w:rsidR="00EA5D46">
        <w:rPr>
          <w:rFonts w:ascii="Arial" w:hAnsi="Arial" w:cs="Arial"/>
          <w:color w:val="1A1A1A" w:themeColor="background1" w:themeShade="1A"/>
          <w:sz w:val="20"/>
          <w:szCs w:val="20"/>
        </w:rPr>
        <w:t>в 2015 –</w:t>
      </w:r>
      <w:r w:rsidR="002E567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2016 годах и дефицит,</w:t>
      </w:r>
      <w:r w:rsidR="00EA5D46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целесообразны ограниченные госзаймы</w:t>
      </w:r>
      <w:r w:rsidR="002E5673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призванные </w:t>
      </w:r>
      <w:r w:rsidR="00EA5D46">
        <w:rPr>
          <w:rFonts w:ascii="Arial" w:hAnsi="Arial" w:cs="Arial"/>
          <w:color w:val="1A1A1A" w:themeColor="background1" w:themeShade="1A"/>
          <w:sz w:val="20"/>
          <w:szCs w:val="20"/>
        </w:rPr>
        <w:t xml:space="preserve">заинтересовать инвесторов (как внутренних, так и внешних) в </w:t>
      </w:r>
      <w:r w:rsidR="002E567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общеэкономическом росте. 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Роль государства усилится и в части повышения ответственности, и в части налогового стимулирования, и в части повышения финансовой, производственной и технологической дисциплины.</w:t>
      </w:r>
      <w:r w:rsidR="00C171FB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DE5E69" w:rsidRPr="006218A3" w:rsidRDefault="00C171FB" w:rsidP="00D65C12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П</w:t>
      </w: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>оложительный тренд основных экономических показателей, наблюдаемый с начала 2016 года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указывают на то, что в 2017 году ВВП возрастет от 1,5 до 2,0%, а в 2020 году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при условии стабилизации геополитической конъюнктуры</w:t>
      </w: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достигнет 5% годового роста.</w:t>
      </w:r>
    </w:p>
    <w:p w:rsidR="00DE5E69" w:rsidRPr="006218A3" w:rsidRDefault="00DE5E69" w:rsidP="00D65C12">
      <w:pPr>
        <w:spacing w:before="240" w:after="0" w:line="240" w:lineRule="auto"/>
        <w:ind w:firstLine="284"/>
        <w:jc w:val="center"/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  <w:t>Основные тенденции и перспективы рынка недвижимости</w:t>
      </w:r>
    </w:p>
    <w:p w:rsidR="00DE5E69" w:rsidRPr="006218A3" w:rsidRDefault="00DE5E69" w:rsidP="00790A5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После </w:t>
      </w:r>
      <w:r w:rsidR="008625E8">
        <w:rPr>
          <w:rFonts w:ascii="Arial" w:hAnsi="Arial" w:cs="Arial"/>
          <w:bCs/>
          <w:color w:val="1A1A1A" w:themeColor="background1" w:themeShade="1A"/>
          <w:sz w:val="20"/>
          <w:szCs w:val="20"/>
        </w:rPr>
        <w:t>остановки</w:t>
      </w: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рынка в феврале-марте 2015 года и снижения до конца 2015 года</w:t>
      </w:r>
      <w:r w:rsidR="00790A55">
        <w:rPr>
          <w:rFonts w:ascii="Arial" w:hAnsi="Arial" w:cs="Arial"/>
          <w:bCs/>
          <w:color w:val="1A1A1A" w:themeColor="background1" w:themeShade="1A"/>
          <w:sz w:val="20"/>
          <w:szCs w:val="20"/>
        </w:rPr>
        <w:t>, вызванных падением рынка нефти 2015 года,</w:t>
      </w: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в 2016 год</w:t>
      </w:r>
      <w:r w:rsidR="00790A5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у </w:t>
      </w:r>
      <w:r w:rsidR="008625E8">
        <w:rPr>
          <w:rFonts w:ascii="Arial" w:hAnsi="Arial" w:cs="Arial"/>
          <w:bCs/>
          <w:color w:val="1A1A1A" w:themeColor="background1" w:themeShade="1A"/>
          <w:sz w:val="20"/>
          <w:szCs w:val="20"/>
        </w:rPr>
        <w:t>в Москве и Санкт-Петербурге</w:t>
      </w:r>
      <w:r w:rsidR="008625E8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наблюдался рост сделок и </w:t>
      </w:r>
      <w:r w:rsidR="002778A8">
        <w:rPr>
          <w:rFonts w:ascii="Arial" w:hAnsi="Arial" w:cs="Arial"/>
          <w:bCs/>
          <w:color w:val="1A1A1A" w:themeColor="background1" w:themeShade="1A"/>
          <w:sz w:val="20"/>
          <w:szCs w:val="20"/>
        </w:rPr>
        <w:t>умеренный</w:t>
      </w:r>
      <w:r w:rsidR="00336E3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рост цен</w:t>
      </w:r>
      <w:r w:rsidR="008625E8">
        <w:rPr>
          <w:rFonts w:ascii="Arial" w:hAnsi="Arial" w:cs="Arial"/>
          <w:bCs/>
          <w:color w:val="1A1A1A" w:themeColor="background1" w:themeShade="1A"/>
          <w:sz w:val="20"/>
          <w:szCs w:val="20"/>
        </w:rPr>
        <w:t>, а</w:t>
      </w:r>
      <w:r w:rsidR="00336E3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2778A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 других регионах продолжилось незначительное снижение цен. </w:t>
      </w:r>
      <w:r w:rsidR="00336E3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Однако </w:t>
      </w:r>
      <w:r w:rsidR="007C4792">
        <w:rPr>
          <w:rFonts w:ascii="Arial" w:hAnsi="Arial" w:cs="Arial"/>
          <w:bCs/>
          <w:color w:val="1A1A1A" w:themeColor="background1" w:themeShade="1A"/>
          <w:sz w:val="20"/>
          <w:szCs w:val="20"/>
        </w:rPr>
        <w:t>общее</w:t>
      </w:r>
      <w:r w:rsidR="007C4792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снижени</w:t>
      </w:r>
      <w:r w:rsidR="007C4792">
        <w:rPr>
          <w:rFonts w:ascii="Arial" w:hAnsi="Arial" w:cs="Arial"/>
          <w:bCs/>
          <w:color w:val="1A1A1A" w:themeColor="background1" w:themeShade="1A"/>
          <w:sz w:val="20"/>
          <w:szCs w:val="20"/>
        </w:rPr>
        <w:t>е</w:t>
      </w:r>
      <w:r w:rsidR="007C4792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доходов населения и бизнеса, общ</w:t>
      </w:r>
      <w:r w:rsidR="007C4792">
        <w:rPr>
          <w:rFonts w:ascii="Arial" w:hAnsi="Arial" w:cs="Arial"/>
          <w:bCs/>
          <w:color w:val="1A1A1A" w:themeColor="background1" w:themeShade="1A"/>
          <w:sz w:val="20"/>
          <w:szCs w:val="20"/>
        </w:rPr>
        <w:t>ий</w:t>
      </w:r>
      <w:r w:rsidR="007C4792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7C4792">
        <w:rPr>
          <w:rFonts w:ascii="Arial" w:hAnsi="Arial" w:cs="Arial"/>
          <w:color w:val="1A1A1A" w:themeColor="background1" w:themeShade="1A"/>
          <w:sz w:val="20"/>
          <w:szCs w:val="20"/>
        </w:rPr>
        <w:t>спад</w:t>
      </w:r>
      <w:r w:rsidR="007C4792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платёжеспособного спроса</w:t>
      </w:r>
      <w:r w:rsidR="007C4792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на фоне</w:t>
      </w:r>
      <w:r w:rsidR="007C4792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CE5270">
        <w:rPr>
          <w:rFonts w:ascii="Arial" w:hAnsi="Arial" w:cs="Arial"/>
          <w:bCs/>
          <w:color w:val="1A1A1A" w:themeColor="background1" w:themeShade="1A"/>
          <w:sz w:val="20"/>
          <w:szCs w:val="20"/>
        </w:rPr>
        <w:t>строительно</w:t>
      </w:r>
      <w:r w:rsidR="007C4792">
        <w:rPr>
          <w:rFonts w:ascii="Arial" w:hAnsi="Arial" w:cs="Arial"/>
          <w:bCs/>
          <w:color w:val="1A1A1A" w:themeColor="background1" w:themeShade="1A"/>
          <w:sz w:val="20"/>
          <w:szCs w:val="20"/>
        </w:rPr>
        <w:t>го</w:t>
      </w:r>
      <w:r w:rsidR="00CE527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перепроизводств</w:t>
      </w:r>
      <w:r w:rsidR="007C4792">
        <w:rPr>
          <w:rFonts w:ascii="Arial" w:hAnsi="Arial" w:cs="Arial"/>
          <w:bCs/>
          <w:color w:val="1A1A1A" w:themeColor="background1" w:themeShade="1A"/>
          <w:sz w:val="20"/>
          <w:szCs w:val="20"/>
        </w:rPr>
        <w:t>а</w:t>
      </w:r>
      <w:r w:rsidR="00CE527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2012 – 2014 гг. </w:t>
      </w:r>
      <w:r w:rsidR="00CE5270">
        <w:rPr>
          <w:rFonts w:ascii="Arial" w:hAnsi="Arial" w:cs="Arial"/>
          <w:color w:val="1A1A1A" w:themeColor="background1" w:themeShade="1A"/>
          <w:sz w:val="20"/>
          <w:szCs w:val="20"/>
        </w:rPr>
        <w:t>обусловил</w:t>
      </w:r>
      <w:r w:rsidR="007C4792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CE527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инерционный рост предложений новых объектов</w:t>
      </w:r>
      <w:r w:rsidR="007C4792">
        <w:rPr>
          <w:rFonts w:ascii="Arial" w:hAnsi="Arial" w:cs="Arial"/>
          <w:color w:val="1A1A1A" w:themeColor="background1" w:themeShade="1A"/>
          <w:sz w:val="20"/>
          <w:szCs w:val="20"/>
        </w:rPr>
        <w:t>, что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оказ</w:t>
      </w:r>
      <w:r w:rsidR="00774058">
        <w:rPr>
          <w:rFonts w:ascii="Arial" w:hAnsi="Arial" w:cs="Arial"/>
          <w:color w:val="1A1A1A" w:themeColor="background1" w:themeShade="1A"/>
          <w:sz w:val="20"/>
          <w:szCs w:val="20"/>
        </w:rPr>
        <w:t>ало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отриц</w:t>
      </w:r>
      <w:r w:rsidR="007C4792">
        <w:rPr>
          <w:rFonts w:ascii="Arial" w:hAnsi="Arial" w:cs="Arial"/>
          <w:color w:val="1A1A1A" w:themeColor="background1" w:themeShade="1A"/>
          <w:sz w:val="20"/>
          <w:szCs w:val="20"/>
        </w:rPr>
        <w:t>ательное влияние на уровень цен и активност</w:t>
      </w:r>
      <w:r w:rsidR="002778A8">
        <w:rPr>
          <w:rFonts w:ascii="Arial" w:hAnsi="Arial" w:cs="Arial"/>
          <w:color w:val="1A1A1A" w:themeColor="background1" w:themeShade="1A"/>
          <w:sz w:val="20"/>
          <w:szCs w:val="20"/>
        </w:rPr>
        <w:t>ь</w:t>
      </w:r>
      <w:r w:rsidR="007C4792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рынк</w:t>
      </w:r>
      <w:r w:rsidR="002778A8">
        <w:rPr>
          <w:rFonts w:ascii="Arial" w:hAnsi="Arial" w:cs="Arial"/>
          <w:color w:val="1A1A1A" w:themeColor="background1" w:themeShade="1A"/>
          <w:sz w:val="20"/>
          <w:szCs w:val="20"/>
        </w:rPr>
        <w:t>а с начала 2017 года.</w:t>
      </w:r>
    </w:p>
    <w:p w:rsidR="00DE5E69" w:rsidRPr="006218A3" w:rsidRDefault="00C42F32" w:rsidP="00790A5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М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еняется качество рынка.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Общая к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>оррекция цен провоциру</w:t>
      </w:r>
      <w:r w:rsidR="00774058">
        <w:rPr>
          <w:rFonts w:ascii="Arial" w:hAnsi="Arial" w:cs="Arial"/>
          <w:color w:val="1A1A1A" w:themeColor="background1" w:themeShade="1A"/>
          <w:sz w:val="20"/>
          <w:szCs w:val="20"/>
        </w:rPr>
        <w:t>е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>т снижение цен на окраинах городо</w:t>
      </w:r>
      <w:r w:rsidR="00774058">
        <w:rPr>
          <w:rFonts w:ascii="Arial" w:hAnsi="Arial" w:cs="Arial"/>
          <w:color w:val="1A1A1A" w:themeColor="background1" w:themeShade="1A"/>
          <w:sz w:val="20"/>
          <w:szCs w:val="20"/>
        </w:rPr>
        <w:t xml:space="preserve">в, цен старого и ветхого фонда. 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Усилившаяся конкуренция стимулируют сокращение сроков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нового 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строительства, снижение себестоимости, повышение качества </w:t>
      </w:r>
      <w:r w:rsidR="00774058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самих 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объектов и благоустройства территории, развитие новых строительных технологий, возведение энергоэффективных зданий, </w:t>
      </w:r>
      <w:r w:rsidR="00E20A56">
        <w:rPr>
          <w:rFonts w:ascii="Arial" w:hAnsi="Arial" w:cs="Arial"/>
          <w:color w:val="1A1A1A" w:themeColor="background1" w:themeShade="1A"/>
          <w:sz w:val="20"/>
          <w:szCs w:val="20"/>
        </w:rPr>
        <w:t>эффективное</w:t>
      </w:r>
      <w:r w:rsidR="00774058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использование </w:t>
      </w:r>
      <w:r w:rsidR="00774058">
        <w:rPr>
          <w:rFonts w:ascii="Arial" w:hAnsi="Arial" w:cs="Arial"/>
          <w:color w:val="1A1A1A" w:themeColor="background1" w:themeShade="1A"/>
          <w:sz w:val="20"/>
          <w:szCs w:val="20"/>
        </w:rPr>
        <w:t>земельных участков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>. Повысилась финансовая дисциплина, покупатели стали более ответственно относиться к займу, а банки ужесточили условия выдачи кредитов. Таким образом, рынок корректируется и качественно меняется в соответстви</w:t>
      </w:r>
      <w:r w:rsidR="00E20A56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 развитием реальных секторов экономики и реальны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ми доходами населения и бизнеса, что положительно отра</w:t>
      </w:r>
      <w:r w:rsidR="006F068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жается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на обоснованности рыночных цен.</w:t>
      </w:r>
    </w:p>
    <w:p w:rsidR="00DE5E69" w:rsidRPr="007347A7" w:rsidRDefault="00490DD8" w:rsidP="007347A7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У</w:t>
      </w:r>
      <w:r w:rsidR="00C42F32">
        <w:rPr>
          <w:rFonts w:ascii="Arial" w:hAnsi="Arial" w:cs="Arial"/>
          <w:color w:val="1A1A1A" w:themeColor="background1" w:themeShade="1A"/>
          <w:sz w:val="20"/>
          <w:szCs w:val="20"/>
        </w:rPr>
        <w:t>меренная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7347A7">
        <w:rPr>
          <w:rFonts w:ascii="Arial" w:hAnsi="Arial" w:cs="Arial"/>
          <w:color w:val="1A1A1A" w:themeColor="background1" w:themeShade="1A"/>
          <w:sz w:val="20"/>
          <w:szCs w:val="20"/>
        </w:rPr>
        <w:t>среднемесячная</w:t>
      </w:r>
      <w:r w:rsidR="007347A7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>инфляция (</w:t>
      </w:r>
      <w:r w:rsidR="007347A7">
        <w:rPr>
          <w:rFonts w:ascii="Arial" w:hAnsi="Arial" w:cs="Arial"/>
          <w:color w:val="1A1A1A" w:themeColor="background1" w:themeShade="1A"/>
          <w:sz w:val="20"/>
          <w:szCs w:val="20"/>
        </w:rPr>
        <w:t>0,38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%, 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а Правительство обещает снижение в 2017 году до </w:t>
      </w:r>
      <w:r w:rsidR="007347A7">
        <w:rPr>
          <w:rFonts w:ascii="Arial" w:hAnsi="Arial" w:cs="Arial"/>
          <w:color w:val="1A1A1A" w:themeColor="background1" w:themeShade="1A"/>
          <w:sz w:val="20"/>
          <w:szCs w:val="20"/>
        </w:rPr>
        <w:t>0,33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%),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в целом 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>положительная динамика экономики, стабилизация рынка и отложенный потребительский спрос (нако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пления выросли за 2015-2016 годы на 25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2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%) </w:t>
      </w:r>
      <w:r w:rsid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обосновывают </w:t>
      </w:r>
      <w:r w:rsidR="006F068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дальнейшее 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снижение ключевой ставки и ставок по </w:t>
      </w:r>
      <w:r w:rsidR="007347A7">
        <w:rPr>
          <w:rFonts w:ascii="Arial" w:hAnsi="Arial" w:cs="Arial"/>
          <w:color w:val="1A1A1A" w:themeColor="background1" w:themeShade="1A"/>
          <w:sz w:val="20"/>
          <w:szCs w:val="20"/>
        </w:rPr>
        <w:t>ипотеке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восстановление потребительского спроса и спроса на рынке качественной недвижимости. </w:t>
      </w:r>
      <w:r w:rsidR="005828D1">
        <w:rPr>
          <w:rFonts w:ascii="Arial" w:hAnsi="Arial" w:cs="Arial"/>
          <w:color w:val="1A1A1A" w:themeColor="background1" w:themeShade="1A"/>
          <w:sz w:val="20"/>
          <w:szCs w:val="20"/>
        </w:rPr>
        <w:t>Учитывая значительную изношенность жилого и нежилого фондов, п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о мере роста </w:t>
      </w:r>
      <w:r w:rsidR="005828D1">
        <w:rPr>
          <w:rFonts w:ascii="Arial" w:hAnsi="Arial" w:cs="Arial"/>
          <w:color w:val="1A1A1A" w:themeColor="background1" w:themeShade="1A"/>
          <w:sz w:val="20"/>
          <w:szCs w:val="20"/>
        </w:rPr>
        <w:t xml:space="preserve">доходов населения и бизнеса </w:t>
      </w:r>
      <w:r w:rsidR="0073488B">
        <w:rPr>
          <w:rFonts w:ascii="Arial" w:hAnsi="Arial" w:cs="Arial"/>
          <w:color w:val="1A1A1A" w:themeColor="background1" w:themeShade="1A"/>
          <w:sz w:val="20"/>
          <w:szCs w:val="20"/>
        </w:rPr>
        <w:t>увеличится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спрос на новые объекты </w:t>
      </w:r>
      <w:r w:rsidR="0073488B">
        <w:rPr>
          <w:rFonts w:ascii="Arial" w:hAnsi="Arial" w:cs="Arial"/>
          <w:color w:val="1A1A1A" w:themeColor="background1" w:themeShade="1A"/>
          <w:sz w:val="20"/>
          <w:szCs w:val="20"/>
        </w:rPr>
        <w:t>и на землю сначала в экономически активных регионах и районах, затем - в остальных.</w:t>
      </w:r>
    </w:p>
    <w:p w:rsidR="00DE5E69" w:rsidRPr="006218A3" w:rsidRDefault="00DE5E69" w:rsidP="00D65C12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6F0687" w:rsidRDefault="006F0687" w:rsidP="00D65C12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DE5E69" w:rsidRPr="006218A3" w:rsidRDefault="00DE5E69" w:rsidP="00D65C12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Использованные материалы:</w:t>
      </w:r>
    </w:p>
    <w:p w:rsidR="00DE5E69" w:rsidRPr="007347A7" w:rsidRDefault="00DE5E69" w:rsidP="007347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Центральный банк Российской Федерации  </w:t>
      </w:r>
      <w:hyperlink r:id="rId10" w:history="1">
        <w:r w:rsidRPr="007347A7">
          <w:rPr>
            <w:rStyle w:val="a4"/>
            <w:rFonts w:ascii="Arial" w:hAnsi="Arial" w:cs="Arial"/>
            <w:sz w:val="20"/>
            <w:szCs w:val="20"/>
          </w:rPr>
          <w:t>http://www.cbr.ru</w:t>
        </w:r>
      </w:hyperlink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</w:t>
      </w:r>
      <w:hyperlink r:id="rId11" w:history="1">
        <w:r w:rsidRPr="007347A7">
          <w:rPr>
            <w:rStyle w:val="a4"/>
            <w:rFonts w:ascii="Arial" w:hAnsi="Arial" w:cs="Arial"/>
            <w:color w:val="548DD4" w:themeColor="text2" w:themeTint="99"/>
            <w:sz w:val="20"/>
            <w:szCs w:val="20"/>
          </w:rPr>
          <w:t>http://www.cbr.ru/statistics/UDStat.aspx?TblID=302-01&amp;pid=sors&amp;sid=ITM_27910</w:t>
        </w:r>
      </w:hyperlink>
      <w:r w:rsidRPr="007347A7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Pr="007347A7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DE5E69" w:rsidRPr="007347A7" w:rsidRDefault="00DE5E69" w:rsidP="007347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Федеральная служба государственной статистики. </w:t>
      </w:r>
      <w:hyperlink r:id="rId12" w:history="1">
        <w:r w:rsidRPr="007347A7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7347A7">
          <w:rPr>
            <w:rStyle w:val="a4"/>
            <w:rFonts w:ascii="Arial" w:hAnsi="Arial" w:cs="Arial"/>
            <w:sz w:val="20"/>
            <w:szCs w:val="20"/>
          </w:rPr>
          <w:t>.gks.ru</w:t>
        </w:r>
      </w:hyperlink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</w:t>
      </w:r>
      <w:hyperlink r:id="rId13" w:history="1">
        <w:r w:rsidRPr="007347A7">
          <w:rPr>
            <w:rStyle w:val="a4"/>
            <w:rFonts w:ascii="Arial" w:hAnsi="Arial" w:cs="Arial"/>
            <w:sz w:val="20"/>
            <w:szCs w:val="20"/>
          </w:rPr>
          <w:t>http://www.gks.ru/bgd/free/b04_03/IssWWW.exe/Stg/d01/14.htm</w:t>
        </w:r>
      </w:hyperlink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. </w:t>
      </w:r>
    </w:p>
    <w:p w:rsidR="00DE5E69" w:rsidRPr="007347A7" w:rsidRDefault="000B6633" w:rsidP="007347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hyperlink r:id="rId14" w:history="1">
        <w:r w:rsidR="00CE4071" w:rsidRPr="007347A7">
          <w:rPr>
            <w:rStyle w:val="a4"/>
            <w:rFonts w:ascii="Arial" w:hAnsi="Arial" w:cs="Arial"/>
            <w:sz w:val="20"/>
            <w:szCs w:val="20"/>
          </w:rPr>
          <w:t>http://www.mt5.com/ru/forex_humor/image/27833</w:t>
        </w:r>
      </w:hyperlink>
      <w:r w:rsidR="00CE4071"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DE5E69" w:rsidRPr="006218A3" w:rsidRDefault="00DE5E69" w:rsidP="00D65C1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DE5E69" w:rsidRPr="007347A7" w:rsidRDefault="00DE5E69" w:rsidP="00D65C12">
      <w:pPr>
        <w:spacing w:after="0" w:line="240" w:lineRule="auto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Анализ подготовлен специалистами </w:t>
      </w:r>
      <w:r w:rsidRPr="007347A7">
        <w:rPr>
          <w:rFonts w:ascii="Arial" w:hAnsi="Arial" w:cs="Arial"/>
          <w:sz w:val="20"/>
          <w:szCs w:val="20"/>
        </w:rPr>
        <w:t>СтатРиелт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и основан на </w:t>
      </w:r>
      <w:r w:rsidR="007347A7"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последних официальных данных по состоянию на 15.03.2017 года.</w:t>
      </w:r>
    </w:p>
    <w:p w:rsidR="00DE5E69" w:rsidRPr="000B6633" w:rsidRDefault="00DE5E69" w:rsidP="000B6633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Анализ может быть использован подписчиками как частично от имени подписчиков, так и в контексте со ссылкой на СтатРиелт</w:t>
      </w:r>
      <w:r w:rsidR="007347A7" w:rsidRPr="007347A7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</w:p>
    <w:sectPr w:rsidR="00DE5E69" w:rsidRPr="000B6633" w:rsidSect="00790A55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752A"/>
    <w:multiLevelType w:val="hybridMultilevel"/>
    <w:tmpl w:val="49328A22"/>
    <w:lvl w:ilvl="0" w:tplc="7C66C968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F9003016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">
    <w:nsid w:val="51B3780B"/>
    <w:multiLevelType w:val="hybridMultilevel"/>
    <w:tmpl w:val="2A10FE52"/>
    <w:lvl w:ilvl="0" w:tplc="7C66C968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7C66C9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">
    <w:nsid w:val="52D74EF0"/>
    <w:multiLevelType w:val="hybridMultilevel"/>
    <w:tmpl w:val="67047962"/>
    <w:lvl w:ilvl="0" w:tplc="1EF2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94497"/>
    <w:multiLevelType w:val="hybridMultilevel"/>
    <w:tmpl w:val="378A3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8487F"/>
    <w:multiLevelType w:val="hybridMultilevel"/>
    <w:tmpl w:val="F5A2EE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A364ACA"/>
    <w:multiLevelType w:val="hybridMultilevel"/>
    <w:tmpl w:val="036C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4B"/>
    <w:rsid w:val="00015CA2"/>
    <w:rsid w:val="00061AFE"/>
    <w:rsid w:val="00067DB0"/>
    <w:rsid w:val="00074567"/>
    <w:rsid w:val="000945C9"/>
    <w:rsid w:val="000B6633"/>
    <w:rsid w:val="000C016E"/>
    <w:rsid w:val="000E6FBE"/>
    <w:rsid w:val="0010145E"/>
    <w:rsid w:val="00102E5A"/>
    <w:rsid w:val="001101F0"/>
    <w:rsid w:val="00124557"/>
    <w:rsid w:val="00130A88"/>
    <w:rsid w:val="0015297B"/>
    <w:rsid w:val="001C1467"/>
    <w:rsid w:val="001D3D75"/>
    <w:rsid w:val="001F6D0F"/>
    <w:rsid w:val="00200D81"/>
    <w:rsid w:val="00201F04"/>
    <w:rsid w:val="002025A3"/>
    <w:rsid w:val="00260E9D"/>
    <w:rsid w:val="00274C9D"/>
    <w:rsid w:val="002778A8"/>
    <w:rsid w:val="002E5673"/>
    <w:rsid w:val="003163E8"/>
    <w:rsid w:val="00336E3E"/>
    <w:rsid w:val="0034490A"/>
    <w:rsid w:val="00351F0E"/>
    <w:rsid w:val="00392E86"/>
    <w:rsid w:val="003B4435"/>
    <w:rsid w:val="004058E6"/>
    <w:rsid w:val="00433D49"/>
    <w:rsid w:val="00443FA0"/>
    <w:rsid w:val="0046010F"/>
    <w:rsid w:val="00487B51"/>
    <w:rsid w:val="00490DD8"/>
    <w:rsid w:val="004A7150"/>
    <w:rsid w:val="004B32D7"/>
    <w:rsid w:val="004B7C90"/>
    <w:rsid w:val="004E0443"/>
    <w:rsid w:val="004E5F83"/>
    <w:rsid w:val="004F602D"/>
    <w:rsid w:val="00506AC9"/>
    <w:rsid w:val="00512052"/>
    <w:rsid w:val="0051469A"/>
    <w:rsid w:val="00522752"/>
    <w:rsid w:val="005353E4"/>
    <w:rsid w:val="005828D1"/>
    <w:rsid w:val="0058641E"/>
    <w:rsid w:val="005A5AF0"/>
    <w:rsid w:val="005E1A33"/>
    <w:rsid w:val="005F1D59"/>
    <w:rsid w:val="00605000"/>
    <w:rsid w:val="00616670"/>
    <w:rsid w:val="006172D3"/>
    <w:rsid w:val="006218A3"/>
    <w:rsid w:val="00680EA2"/>
    <w:rsid w:val="006879D8"/>
    <w:rsid w:val="00687CB1"/>
    <w:rsid w:val="00692BCA"/>
    <w:rsid w:val="006A04CA"/>
    <w:rsid w:val="006B625A"/>
    <w:rsid w:val="006B7C9A"/>
    <w:rsid w:val="006D79A6"/>
    <w:rsid w:val="006F0687"/>
    <w:rsid w:val="006F43E3"/>
    <w:rsid w:val="00702B1A"/>
    <w:rsid w:val="00710437"/>
    <w:rsid w:val="007347A7"/>
    <w:rsid w:val="0073488B"/>
    <w:rsid w:val="007466AD"/>
    <w:rsid w:val="0076365A"/>
    <w:rsid w:val="00774058"/>
    <w:rsid w:val="007764FD"/>
    <w:rsid w:val="00790A55"/>
    <w:rsid w:val="007A42F2"/>
    <w:rsid w:val="007B5B76"/>
    <w:rsid w:val="007C4792"/>
    <w:rsid w:val="007E17BC"/>
    <w:rsid w:val="00811E61"/>
    <w:rsid w:val="00823AD4"/>
    <w:rsid w:val="00826B4C"/>
    <w:rsid w:val="0085105F"/>
    <w:rsid w:val="008625E8"/>
    <w:rsid w:val="008C52D9"/>
    <w:rsid w:val="00904EE8"/>
    <w:rsid w:val="009170A9"/>
    <w:rsid w:val="009438B5"/>
    <w:rsid w:val="009474F5"/>
    <w:rsid w:val="009537B4"/>
    <w:rsid w:val="00966C60"/>
    <w:rsid w:val="00975089"/>
    <w:rsid w:val="00980931"/>
    <w:rsid w:val="009D0C98"/>
    <w:rsid w:val="009D72E6"/>
    <w:rsid w:val="009E1A22"/>
    <w:rsid w:val="009E2A51"/>
    <w:rsid w:val="009E5F29"/>
    <w:rsid w:val="00A53749"/>
    <w:rsid w:val="00A5769A"/>
    <w:rsid w:val="00A6483A"/>
    <w:rsid w:val="00A6525C"/>
    <w:rsid w:val="00A852D0"/>
    <w:rsid w:val="00AC7DE4"/>
    <w:rsid w:val="00B266C4"/>
    <w:rsid w:val="00B36E9E"/>
    <w:rsid w:val="00B62F99"/>
    <w:rsid w:val="00B7360D"/>
    <w:rsid w:val="00B95538"/>
    <w:rsid w:val="00BC478A"/>
    <w:rsid w:val="00BE6032"/>
    <w:rsid w:val="00BE614B"/>
    <w:rsid w:val="00C171FB"/>
    <w:rsid w:val="00C34537"/>
    <w:rsid w:val="00C42F32"/>
    <w:rsid w:val="00C43D5C"/>
    <w:rsid w:val="00C50B0B"/>
    <w:rsid w:val="00C5398F"/>
    <w:rsid w:val="00C67D0F"/>
    <w:rsid w:val="00C73D41"/>
    <w:rsid w:val="00CE4071"/>
    <w:rsid w:val="00CE5270"/>
    <w:rsid w:val="00CF6624"/>
    <w:rsid w:val="00CF7DC5"/>
    <w:rsid w:val="00D03CBF"/>
    <w:rsid w:val="00D22D74"/>
    <w:rsid w:val="00D252C3"/>
    <w:rsid w:val="00D40227"/>
    <w:rsid w:val="00D65C12"/>
    <w:rsid w:val="00D75419"/>
    <w:rsid w:val="00D9353D"/>
    <w:rsid w:val="00DA1E8F"/>
    <w:rsid w:val="00DC2DAC"/>
    <w:rsid w:val="00DC423A"/>
    <w:rsid w:val="00DD06CC"/>
    <w:rsid w:val="00DD5314"/>
    <w:rsid w:val="00DE5E69"/>
    <w:rsid w:val="00E20A56"/>
    <w:rsid w:val="00E31448"/>
    <w:rsid w:val="00E6626D"/>
    <w:rsid w:val="00E97D5D"/>
    <w:rsid w:val="00EA5D46"/>
    <w:rsid w:val="00ED410F"/>
    <w:rsid w:val="00EE2792"/>
    <w:rsid w:val="00EF3E38"/>
    <w:rsid w:val="00F04046"/>
    <w:rsid w:val="00F06FAA"/>
    <w:rsid w:val="00F17720"/>
    <w:rsid w:val="00F35027"/>
    <w:rsid w:val="00F37B41"/>
    <w:rsid w:val="00F51135"/>
    <w:rsid w:val="00F70777"/>
    <w:rsid w:val="00F76A51"/>
    <w:rsid w:val="00F97098"/>
    <w:rsid w:val="00FD0676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E6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E5E69"/>
  </w:style>
  <w:style w:type="table" w:styleId="a5">
    <w:name w:val="Table Grid"/>
    <w:basedOn w:val="a1"/>
    <w:uiPriority w:val="59"/>
    <w:rsid w:val="00D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E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7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4F60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E6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E5E69"/>
  </w:style>
  <w:style w:type="table" w:styleId="a5">
    <w:name w:val="Table Grid"/>
    <w:basedOn w:val="a1"/>
    <w:uiPriority w:val="59"/>
    <w:rsid w:val="00D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E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7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4F60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ax.ru/business/551040" TargetMode="External"/><Relationship Id="rId13" Type="http://schemas.openxmlformats.org/officeDocument/2006/relationships/hyperlink" Target="http://www.gks.ru/bgd/free/b04_03/IssWWW.exe/Stg/d01/14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r.ru/statistics/UDStat.aspx?TblID=302-01&amp;pid=sors&amp;sid=ITM_2791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b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br.ru/hd_base/?PrtId=mrrf_7d" TargetMode="External"/><Relationship Id="rId14" Type="http://schemas.openxmlformats.org/officeDocument/2006/relationships/hyperlink" Target="http://www.mt5.com/ru/forex_humor/image/27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2BA2-F4EA-415E-8B6C-9DA29E6F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Чирков</dc:creator>
  <cp:lastModifiedBy>Роман Чирков</cp:lastModifiedBy>
  <cp:revision>3</cp:revision>
  <dcterms:created xsi:type="dcterms:W3CDTF">2017-03-16T07:39:00Z</dcterms:created>
  <dcterms:modified xsi:type="dcterms:W3CDTF">2017-03-16T08:08:00Z</dcterms:modified>
</cp:coreProperties>
</file>