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B1351F" w:rsidRDefault="00B1351F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Неразрывная связь недвижимости с землёй обуславливает прямое влияние на рынок недвижимости региональных социально-экономических и общественно-политических условий и событий</w:t>
      </w:r>
      <w:r w:rsidR="00DF6D95">
        <w:rPr>
          <w:rFonts w:ascii="Arial" w:hAnsi="Arial" w:cs="Arial"/>
          <w:sz w:val="20"/>
          <w:szCs w:val="20"/>
        </w:rPr>
        <w:t>.</w:t>
      </w:r>
      <w:r w:rsidR="00B71623">
        <w:rPr>
          <w:rFonts w:ascii="Arial" w:hAnsi="Arial" w:cs="Arial"/>
          <w:sz w:val="20"/>
          <w:szCs w:val="20"/>
        </w:rPr>
        <w:t xml:space="preserve"> </w:t>
      </w:r>
      <w:r w:rsidR="00DF6D95">
        <w:rPr>
          <w:rFonts w:ascii="Arial" w:hAnsi="Arial" w:cs="Arial"/>
          <w:sz w:val="20"/>
          <w:szCs w:val="20"/>
        </w:rPr>
        <w:t>Эти условия напрямую</w:t>
      </w:r>
      <w:r w:rsidR="00B71623">
        <w:rPr>
          <w:rFonts w:ascii="Arial" w:hAnsi="Arial" w:cs="Arial"/>
          <w:sz w:val="20"/>
          <w:szCs w:val="20"/>
        </w:rPr>
        <w:t xml:space="preserve"> зависят от состояния экономики и политической системы страны, </w:t>
      </w:r>
      <w:r w:rsidR="004338CD">
        <w:rPr>
          <w:rFonts w:ascii="Arial" w:hAnsi="Arial" w:cs="Arial"/>
          <w:sz w:val="20"/>
          <w:szCs w:val="20"/>
        </w:rPr>
        <w:t xml:space="preserve">состояния мировой экономики и </w:t>
      </w:r>
      <w:r w:rsidR="00B71623">
        <w:rPr>
          <w:rFonts w:ascii="Arial" w:hAnsi="Arial" w:cs="Arial"/>
          <w:sz w:val="20"/>
          <w:szCs w:val="20"/>
        </w:rPr>
        <w:t>международных отношений</w:t>
      </w:r>
      <w:r w:rsidR="004338CD">
        <w:rPr>
          <w:rFonts w:ascii="Arial" w:hAnsi="Arial" w:cs="Arial"/>
          <w:sz w:val="20"/>
          <w:szCs w:val="20"/>
        </w:rPr>
        <w:t>.</w:t>
      </w:r>
    </w:p>
    <w:p w:rsidR="0053245F" w:rsidRDefault="00660DE2" w:rsidP="001D03C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Сложившееся в последние </w:t>
      </w:r>
      <w:r w:rsidR="0050795C">
        <w:rPr>
          <w:rFonts w:ascii="Arial" w:hAnsi="Arial" w:cs="Arial"/>
          <w:sz w:val="20"/>
          <w:szCs w:val="20"/>
        </w:rPr>
        <w:t>десятки</w:t>
      </w:r>
      <w:r>
        <w:rPr>
          <w:rFonts w:ascii="Arial" w:hAnsi="Arial" w:cs="Arial"/>
          <w:sz w:val="20"/>
          <w:szCs w:val="20"/>
        </w:rPr>
        <w:t xml:space="preserve"> лет д</w:t>
      </w:r>
      <w:r w:rsidR="00920C8F">
        <w:rPr>
          <w:rFonts w:ascii="Arial" w:hAnsi="Arial" w:cs="Arial"/>
          <w:sz w:val="20"/>
          <w:szCs w:val="20"/>
        </w:rPr>
        <w:t xml:space="preserve">оминирование </w:t>
      </w:r>
      <w:r w:rsidR="006D65E3">
        <w:rPr>
          <w:rFonts w:ascii="Arial" w:hAnsi="Arial" w:cs="Arial"/>
          <w:sz w:val="20"/>
          <w:szCs w:val="20"/>
        </w:rPr>
        <w:t>США</w:t>
      </w:r>
      <w:r w:rsidR="00920C8F">
        <w:rPr>
          <w:rFonts w:ascii="Arial" w:hAnsi="Arial" w:cs="Arial"/>
          <w:sz w:val="20"/>
          <w:szCs w:val="20"/>
        </w:rPr>
        <w:t xml:space="preserve"> в мировой экономике и финансах, </w:t>
      </w:r>
      <w:r w:rsidR="00EB6AF4">
        <w:rPr>
          <w:rFonts w:ascii="Arial" w:hAnsi="Arial" w:cs="Arial"/>
          <w:sz w:val="20"/>
          <w:szCs w:val="20"/>
        </w:rPr>
        <w:t>стремление к абсолютному контролю над мировыми ресурсами, основанны</w:t>
      </w:r>
      <w:r w:rsidR="00920C8F">
        <w:rPr>
          <w:rFonts w:ascii="Arial" w:hAnsi="Arial" w:cs="Arial"/>
          <w:sz w:val="20"/>
          <w:szCs w:val="20"/>
        </w:rPr>
        <w:t xml:space="preserve">е на военной </w:t>
      </w:r>
      <w:r w:rsidR="0050795C">
        <w:rPr>
          <w:rFonts w:ascii="Arial" w:hAnsi="Arial" w:cs="Arial"/>
          <w:sz w:val="20"/>
          <w:szCs w:val="20"/>
        </w:rPr>
        <w:t>мощи</w:t>
      </w:r>
      <w:r w:rsidR="005D500C">
        <w:rPr>
          <w:rFonts w:ascii="Arial" w:hAnsi="Arial" w:cs="Arial"/>
          <w:sz w:val="20"/>
          <w:szCs w:val="20"/>
        </w:rPr>
        <w:t>, финансировании</w:t>
      </w:r>
      <w:r w:rsidR="00EB6AF4">
        <w:rPr>
          <w:rFonts w:ascii="Arial" w:hAnsi="Arial" w:cs="Arial"/>
          <w:sz w:val="20"/>
          <w:szCs w:val="20"/>
        </w:rPr>
        <w:t xml:space="preserve"> экстре</w:t>
      </w:r>
      <w:r w:rsidR="00622B74">
        <w:rPr>
          <w:rFonts w:ascii="Arial" w:hAnsi="Arial" w:cs="Arial"/>
          <w:sz w:val="20"/>
          <w:szCs w:val="20"/>
        </w:rPr>
        <w:t>мистов, нацистов и оранжевых революционеров</w:t>
      </w:r>
      <w:r w:rsidR="00EB6AF4">
        <w:rPr>
          <w:rFonts w:ascii="Arial" w:hAnsi="Arial" w:cs="Arial"/>
          <w:sz w:val="20"/>
          <w:szCs w:val="20"/>
        </w:rPr>
        <w:t xml:space="preserve"> </w:t>
      </w:r>
      <w:r w:rsidR="005D500C">
        <w:rPr>
          <w:rFonts w:ascii="Arial" w:hAnsi="Arial" w:cs="Arial"/>
          <w:sz w:val="20"/>
          <w:szCs w:val="20"/>
        </w:rPr>
        <w:t xml:space="preserve">стали </w:t>
      </w:r>
      <w:r w:rsidR="00CE3E8F">
        <w:rPr>
          <w:rFonts w:ascii="Arial" w:hAnsi="Arial" w:cs="Arial"/>
          <w:sz w:val="20"/>
          <w:szCs w:val="20"/>
        </w:rPr>
        <w:t xml:space="preserve">для Америки </w:t>
      </w:r>
      <w:r>
        <w:rPr>
          <w:rFonts w:ascii="Arial" w:hAnsi="Arial" w:cs="Arial"/>
          <w:sz w:val="20"/>
          <w:szCs w:val="20"/>
        </w:rPr>
        <w:t xml:space="preserve">привычной практикой </w:t>
      </w:r>
      <w:r w:rsidR="00CE3E8F">
        <w:rPr>
          <w:rFonts w:ascii="Arial" w:hAnsi="Arial" w:cs="Arial"/>
          <w:sz w:val="20"/>
          <w:szCs w:val="20"/>
        </w:rPr>
        <w:t xml:space="preserve">международного поведения. </w:t>
      </w:r>
      <w:r>
        <w:rPr>
          <w:rFonts w:ascii="Arial" w:hAnsi="Arial" w:cs="Arial"/>
          <w:sz w:val="20"/>
          <w:szCs w:val="20"/>
        </w:rPr>
        <w:t xml:space="preserve">Незаконные с </w:t>
      </w:r>
      <w:r w:rsidR="005D500C">
        <w:rPr>
          <w:rFonts w:ascii="Arial" w:hAnsi="Arial" w:cs="Arial"/>
          <w:sz w:val="20"/>
          <w:szCs w:val="20"/>
        </w:rPr>
        <w:t>позиции</w:t>
      </w:r>
      <w:r>
        <w:rPr>
          <w:rFonts w:ascii="Arial" w:hAnsi="Arial" w:cs="Arial"/>
          <w:sz w:val="20"/>
          <w:szCs w:val="20"/>
        </w:rPr>
        <w:t xml:space="preserve"> международного права попытки дискредитации и санкционное блокирование, б</w:t>
      </w:r>
      <w:r w:rsidR="00F951C0">
        <w:rPr>
          <w:rFonts w:ascii="Arial" w:hAnsi="Arial" w:cs="Arial"/>
          <w:sz w:val="20"/>
          <w:szCs w:val="20"/>
        </w:rPr>
        <w:t xml:space="preserve">есцеремонное вытеснение </w:t>
      </w:r>
      <w:r w:rsidR="00CE3E8F">
        <w:rPr>
          <w:rFonts w:ascii="Arial" w:hAnsi="Arial" w:cs="Arial"/>
          <w:sz w:val="20"/>
          <w:szCs w:val="20"/>
        </w:rPr>
        <w:t xml:space="preserve">России </w:t>
      </w:r>
      <w:r w:rsidR="00F951C0">
        <w:rPr>
          <w:rFonts w:ascii="Arial" w:hAnsi="Arial" w:cs="Arial"/>
          <w:sz w:val="20"/>
          <w:szCs w:val="20"/>
        </w:rPr>
        <w:t xml:space="preserve">с европейского рынка </w:t>
      </w:r>
      <w:r>
        <w:rPr>
          <w:rFonts w:ascii="Arial" w:hAnsi="Arial" w:cs="Arial"/>
          <w:sz w:val="20"/>
          <w:szCs w:val="20"/>
        </w:rPr>
        <w:t>энергоресурсов</w:t>
      </w:r>
      <w:r w:rsidR="00F951C0">
        <w:rPr>
          <w:rFonts w:ascii="Arial" w:hAnsi="Arial" w:cs="Arial"/>
          <w:sz w:val="20"/>
          <w:szCs w:val="20"/>
        </w:rPr>
        <w:t xml:space="preserve"> </w:t>
      </w:r>
      <w:r w:rsidR="00461143">
        <w:rPr>
          <w:rFonts w:ascii="Arial" w:hAnsi="Arial" w:cs="Arial"/>
          <w:sz w:val="20"/>
          <w:szCs w:val="20"/>
        </w:rPr>
        <w:t xml:space="preserve">достигли предела, грозящего </w:t>
      </w:r>
      <w:r w:rsidR="00CE3E8F">
        <w:rPr>
          <w:rFonts w:ascii="Arial" w:hAnsi="Arial" w:cs="Arial"/>
          <w:sz w:val="20"/>
          <w:szCs w:val="20"/>
        </w:rPr>
        <w:t xml:space="preserve">экономике и </w:t>
      </w:r>
      <w:r w:rsidR="001544DF">
        <w:rPr>
          <w:rFonts w:ascii="Arial" w:hAnsi="Arial" w:cs="Arial"/>
          <w:sz w:val="20"/>
          <w:szCs w:val="20"/>
        </w:rPr>
        <w:t xml:space="preserve">дальнейшему </w:t>
      </w:r>
      <w:r w:rsidR="005D500C">
        <w:rPr>
          <w:rFonts w:ascii="Arial" w:hAnsi="Arial" w:cs="Arial"/>
          <w:sz w:val="20"/>
          <w:szCs w:val="20"/>
        </w:rPr>
        <w:t>развитию</w:t>
      </w:r>
      <w:r w:rsidR="00F951C0">
        <w:rPr>
          <w:rFonts w:ascii="Arial" w:hAnsi="Arial" w:cs="Arial"/>
          <w:sz w:val="20"/>
          <w:szCs w:val="20"/>
        </w:rPr>
        <w:t xml:space="preserve"> </w:t>
      </w:r>
      <w:r w:rsidR="00CE3E8F">
        <w:rPr>
          <w:rFonts w:ascii="Arial" w:hAnsi="Arial" w:cs="Arial"/>
          <w:sz w:val="20"/>
          <w:szCs w:val="20"/>
        </w:rPr>
        <w:t xml:space="preserve">российского общества. </w:t>
      </w:r>
      <w:r w:rsidR="001544DF">
        <w:rPr>
          <w:rFonts w:ascii="Arial" w:hAnsi="Arial" w:cs="Arial"/>
          <w:sz w:val="20"/>
          <w:szCs w:val="20"/>
        </w:rPr>
        <w:t>Это вызвало</w:t>
      </w:r>
      <w:r w:rsidR="00CE3E8F">
        <w:rPr>
          <w:rFonts w:ascii="Arial" w:hAnsi="Arial" w:cs="Arial"/>
          <w:sz w:val="20"/>
          <w:szCs w:val="20"/>
        </w:rPr>
        <w:t xml:space="preserve"> противодействие со стороны России. </w:t>
      </w:r>
      <w:r w:rsidR="00B400FD">
        <w:rPr>
          <w:rFonts w:ascii="Arial" w:hAnsi="Arial" w:cs="Arial"/>
          <w:sz w:val="20"/>
          <w:szCs w:val="20"/>
        </w:rPr>
        <w:t>Неподчинение политике и давлению США</w:t>
      </w:r>
      <w:r w:rsidR="004338CD">
        <w:rPr>
          <w:rFonts w:ascii="Arial" w:hAnsi="Arial" w:cs="Arial"/>
          <w:sz w:val="20"/>
          <w:szCs w:val="20"/>
        </w:rPr>
        <w:t xml:space="preserve"> </w:t>
      </w:r>
      <w:r w:rsidR="00B400FD">
        <w:rPr>
          <w:rFonts w:ascii="Arial" w:hAnsi="Arial" w:cs="Arial"/>
          <w:sz w:val="20"/>
          <w:szCs w:val="20"/>
        </w:rPr>
        <w:t xml:space="preserve">привело к </w:t>
      </w:r>
      <w:r w:rsidR="00622B74">
        <w:rPr>
          <w:rFonts w:ascii="Arial" w:hAnsi="Arial" w:cs="Arial"/>
          <w:sz w:val="20"/>
          <w:szCs w:val="20"/>
        </w:rPr>
        <w:t>небывалому обострению отношений между нашими странами и ухудшению</w:t>
      </w:r>
      <w:r w:rsidR="00B400FD">
        <w:rPr>
          <w:rFonts w:ascii="Arial" w:hAnsi="Arial" w:cs="Arial"/>
          <w:sz w:val="20"/>
          <w:szCs w:val="20"/>
        </w:rPr>
        <w:t xml:space="preserve"> всей международной обстановки</w:t>
      </w:r>
      <w:r w:rsidR="00B74479">
        <w:rPr>
          <w:rFonts w:ascii="Arial" w:hAnsi="Arial" w:cs="Arial"/>
          <w:sz w:val="20"/>
          <w:szCs w:val="20"/>
        </w:rPr>
        <w:t>.</w:t>
      </w:r>
      <w:r w:rsidR="001D03C3">
        <w:rPr>
          <w:rFonts w:ascii="Arial" w:hAnsi="Arial" w:cs="Arial"/>
          <w:sz w:val="20"/>
          <w:szCs w:val="20"/>
        </w:rPr>
        <w:t xml:space="preserve"> </w:t>
      </w:r>
      <w:r w:rsidR="00EE1F0B">
        <w:rPr>
          <w:rFonts w:ascii="Arial" w:hAnsi="Arial" w:cs="Arial"/>
          <w:sz w:val="20"/>
          <w:szCs w:val="20"/>
        </w:rPr>
        <w:t xml:space="preserve">Нарастают </w:t>
      </w:r>
      <w:r w:rsidR="0050795C">
        <w:rPr>
          <w:rFonts w:ascii="Arial" w:hAnsi="Arial" w:cs="Arial"/>
          <w:sz w:val="20"/>
          <w:szCs w:val="20"/>
        </w:rPr>
        <w:t xml:space="preserve">политические и экономические проблемы и </w:t>
      </w:r>
      <w:r w:rsidR="00EE1F0B">
        <w:rPr>
          <w:rFonts w:ascii="Arial" w:hAnsi="Arial" w:cs="Arial"/>
          <w:sz w:val="20"/>
          <w:szCs w:val="20"/>
        </w:rPr>
        <w:t xml:space="preserve">конфликты в Северной Африке, на Ближнем Востоке, в Латинской Америке, развиваются и углубляются </w:t>
      </w:r>
      <w:r w:rsidR="002F5095">
        <w:rPr>
          <w:rFonts w:ascii="Arial" w:hAnsi="Arial" w:cs="Arial"/>
          <w:sz w:val="20"/>
          <w:szCs w:val="20"/>
        </w:rPr>
        <w:t xml:space="preserve">национальные </w:t>
      </w:r>
      <w:r w:rsidR="00EE1F0B">
        <w:rPr>
          <w:rFonts w:ascii="Arial" w:hAnsi="Arial" w:cs="Arial"/>
          <w:sz w:val="20"/>
          <w:szCs w:val="20"/>
        </w:rPr>
        <w:t>противоречия в Европе.</w:t>
      </w:r>
      <w:r w:rsidR="007E627D" w:rsidRPr="007E627D">
        <w:rPr>
          <w:rFonts w:ascii="Arial" w:hAnsi="Arial" w:cs="Arial"/>
          <w:sz w:val="20"/>
          <w:szCs w:val="20"/>
        </w:rPr>
        <w:t xml:space="preserve"> </w:t>
      </w:r>
      <w:r w:rsidR="007E627D">
        <w:rPr>
          <w:rFonts w:ascii="Arial" w:hAnsi="Arial" w:cs="Arial"/>
          <w:sz w:val="20"/>
          <w:szCs w:val="20"/>
        </w:rPr>
        <w:t xml:space="preserve">Доллар, международная система расчётов </w:t>
      </w:r>
      <w:r w:rsidR="007E627D">
        <w:rPr>
          <w:rFonts w:ascii="Arial" w:hAnsi="Arial" w:cs="Arial"/>
          <w:sz w:val="20"/>
          <w:szCs w:val="20"/>
          <w:lang w:val="en-US"/>
        </w:rPr>
        <w:t>SWIFT</w:t>
      </w:r>
      <w:r w:rsidR="007E627D" w:rsidRPr="008E7AB4">
        <w:rPr>
          <w:rFonts w:ascii="Arial" w:hAnsi="Arial" w:cs="Arial"/>
          <w:sz w:val="20"/>
          <w:szCs w:val="20"/>
        </w:rPr>
        <w:t xml:space="preserve"> </w:t>
      </w:r>
      <w:r w:rsidR="007E627D">
        <w:rPr>
          <w:rFonts w:ascii="Arial" w:hAnsi="Arial" w:cs="Arial"/>
          <w:sz w:val="20"/>
          <w:szCs w:val="20"/>
        </w:rPr>
        <w:t xml:space="preserve">и Всемирный банк фактически стали </w:t>
      </w:r>
      <w:r w:rsidR="00B30D36">
        <w:rPr>
          <w:rFonts w:ascii="Arial" w:hAnsi="Arial" w:cs="Arial"/>
          <w:sz w:val="20"/>
          <w:szCs w:val="20"/>
        </w:rPr>
        <w:t xml:space="preserve">для Запада </w:t>
      </w:r>
      <w:r w:rsidR="007E627D">
        <w:rPr>
          <w:rFonts w:ascii="Arial" w:hAnsi="Arial" w:cs="Arial"/>
          <w:sz w:val="20"/>
          <w:szCs w:val="20"/>
        </w:rPr>
        <w:t xml:space="preserve">инструментами давления </w:t>
      </w:r>
      <w:r w:rsidR="005D500C">
        <w:rPr>
          <w:rFonts w:ascii="Arial" w:hAnsi="Arial" w:cs="Arial"/>
          <w:sz w:val="20"/>
          <w:szCs w:val="20"/>
        </w:rPr>
        <w:t xml:space="preserve">и контроля </w:t>
      </w:r>
      <w:r w:rsidR="007E627D">
        <w:rPr>
          <w:rFonts w:ascii="Arial" w:hAnsi="Arial" w:cs="Arial"/>
          <w:sz w:val="20"/>
          <w:szCs w:val="20"/>
        </w:rPr>
        <w:t>на</w:t>
      </w:r>
      <w:r w:rsidR="005D500C">
        <w:rPr>
          <w:rFonts w:ascii="Arial" w:hAnsi="Arial" w:cs="Arial"/>
          <w:sz w:val="20"/>
          <w:szCs w:val="20"/>
        </w:rPr>
        <w:t>д остальными странами</w:t>
      </w:r>
      <w:r w:rsidR="007E627D">
        <w:rPr>
          <w:rFonts w:ascii="Arial" w:hAnsi="Arial" w:cs="Arial"/>
          <w:sz w:val="20"/>
          <w:szCs w:val="20"/>
        </w:rPr>
        <w:t>.</w:t>
      </w:r>
    </w:p>
    <w:p w:rsidR="005B29A3" w:rsidRDefault="00D914E0" w:rsidP="001A5AC0">
      <w:pPr>
        <w:spacing w:after="0" w:line="240" w:lineRule="auto"/>
        <w:ind w:firstLine="491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Поэтому</w:t>
      </w:r>
      <w:r w:rsidR="00EE1F0B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Росси</w:t>
      </w:r>
      <w:r w:rsidR="0097405C" w:rsidRPr="001544DF">
        <w:rPr>
          <w:rFonts w:ascii="Arial" w:hAnsi="Arial" w:cs="Arial"/>
          <w:bCs/>
          <w:sz w:val="20"/>
          <w:szCs w:val="20"/>
        </w:rPr>
        <w:t>я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2F5095">
        <w:rPr>
          <w:rFonts w:ascii="Arial" w:hAnsi="Arial" w:cs="Arial"/>
          <w:bCs/>
          <w:sz w:val="20"/>
          <w:szCs w:val="20"/>
        </w:rPr>
        <w:t xml:space="preserve">была </w:t>
      </w:r>
      <w:r w:rsidR="0097405C" w:rsidRPr="001544DF">
        <w:rPr>
          <w:rFonts w:ascii="Arial" w:hAnsi="Arial" w:cs="Arial"/>
          <w:bCs/>
          <w:sz w:val="20"/>
          <w:szCs w:val="20"/>
        </w:rPr>
        <w:t xml:space="preserve">вынуждена </w:t>
      </w:r>
      <w:r w:rsidR="0066087E" w:rsidRPr="001544DF">
        <w:rPr>
          <w:rFonts w:ascii="Arial" w:hAnsi="Arial" w:cs="Arial"/>
          <w:bCs/>
          <w:sz w:val="20"/>
          <w:szCs w:val="20"/>
        </w:rPr>
        <w:t>искать пути диверсификации экономических отношений в направлении других стран (</w:t>
      </w:r>
      <w:r w:rsidR="00FE22C2">
        <w:rPr>
          <w:rFonts w:ascii="Arial" w:hAnsi="Arial" w:cs="Arial"/>
          <w:bCs/>
          <w:sz w:val="20"/>
          <w:szCs w:val="20"/>
        </w:rPr>
        <w:t>БРИКС</w:t>
      </w:r>
      <w:r w:rsidR="00ED19EF">
        <w:rPr>
          <w:rFonts w:ascii="Arial" w:hAnsi="Arial" w:cs="Arial"/>
          <w:bCs/>
          <w:sz w:val="20"/>
          <w:szCs w:val="20"/>
        </w:rPr>
        <w:t xml:space="preserve">: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Китай, Индия, </w:t>
      </w:r>
      <w:r w:rsidR="00FE22C2" w:rsidRPr="001544DF">
        <w:rPr>
          <w:rFonts w:ascii="Arial" w:hAnsi="Arial" w:cs="Arial"/>
          <w:bCs/>
          <w:sz w:val="20"/>
          <w:szCs w:val="20"/>
        </w:rPr>
        <w:t>Бразилия, ЮАР</w:t>
      </w:r>
      <w:r w:rsidR="00FE22C2">
        <w:rPr>
          <w:rFonts w:ascii="Arial" w:hAnsi="Arial" w:cs="Arial"/>
          <w:bCs/>
          <w:sz w:val="20"/>
          <w:szCs w:val="20"/>
        </w:rPr>
        <w:t>, а также</w:t>
      </w:r>
      <w:r w:rsidR="00FE22C2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B5042C" w:rsidRPr="001544DF">
        <w:rPr>
          <w:rFonts w:ascii="Arial" w:hAnsi="Arial" w:cs="Arial"/>
          <w:bCs/>
          <w:sz w:val="20"/>
          <w:szCs w:val="20"/>
        </w:rPr>
        <w:t xml:space="preserve">Турция, </w:t>
      </w:r>
      <w:r w:rsidR="006A2B00">
        <w:rPr>
          <w:rFonts w:ascii="Arial" w:hAnsi="Arial" w:cs="Arial"/>
          <w:bCs/>
          <w:sz w:val="20"/>
          <w:szCs w:val="20"/>
        </w:rPr>
        <w:t xml:space="preserve">Япония,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Иран, </w:t>
      </w:r>
      <w:r>
        <w:rPr>
          <w:rFonts w:ascii="Arial" w:hAnsi="Arial" w:cs="Arial"/>
          <w:bCs/>
          <w:sz w:val="20"/>
          <w:szCs w:val="20"/>
        </w:rPr>
        <w:t xml:space="preserve">Южная </w:t>
      </w:r>
      <w:r w:rsidR="0066087E" w:rsidRPr="001544DF">
        <w:rPr>
          <w:rFonts w:ascii="Arial" w:hAnsi="Arial" w:cs="Arial"/>
          <w:bCs/>
          <w:sz w:val="20"/>
          <w:szCs w:val="20"/>
        </w:rPr>
        <w:t>Корея, Венесуэла и другие), а также восстанавливать и углублять отношения со странами ЕврАзЭс (Армения, Белоруссия, Казахстан, Киргизия) и другими среднеазиатскими республиками (Азерба</w:t>
      </w:r>
      <w:r w:rsidR="00791E08" w:rsidRPr="001544DF">
        <w:rPr>
          <w:rFonts w:ascii="Arial" w:hAnsi="Arial" w:cs="Arial"/>
          <w:bCs/>
          <w:sz w:val="20"/>
          <w:szCs w:val="20"/>
        </w:rPr>
        <w:t>йджан, Таджикистан, Узбекистан</w:t>
      </w:r>
      <w:r>
        <w:rPr>
          <w:rFonts w:ascii="Arial" w:hAnsi="Arial" w:cs="Arial"/>
          <w:bCs/>
          <w:sz w:val="20"/>
          <w:szCs w:val="20"/>
        </w:rPr>
        <w:t>, Туркмения</w:t>
      </w:r>
      <w:r w:rsidR="00791E08" w:rsidRPr="001544DF">
        <w:rPr>
          <w:rFonts w:ascii="Arial" w:hAnsi="Arial" w:cs="Arial"/>
          <w:bCs/>
          <w:sz w:val="20"/>
          <w:szCs w:val="20"/>
        </w:rPr>
        <w:t>), идти по пути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791E08" w:rsidRPr="001544DF">
        <w:rPr>
          <w:rFonts w:ascii="Arial" w:hAnsi="Arial" w:cs="Arial"/>
          <w:bCs/>
          <w:sz w:val="20"/>
          <w:szCs w:val="20"/>
        </w:rPr>
        <w:t>импортозамещения товаров</w:t>
      </w:r>
      <w:r w:rsidR="00194A92">
        <w:rPr>
          <w:rFonts w:ascii="Arial" w:hAnsi="Arial" w:cs="Arial"/>
          <w:bCs/>
          <w:sz w:val="20"/>
          <w:szCs w:val="20"/>
        </w:rPr>
        <w:t>, р</w:t>
      </w:r>
      <w:r w:rsidR="00D72A0A" w:rsidRPr="001544DF">
        <w:rPr>
          <w:rFonts w:ascii="Arial" w:hAnsi="Arial" w:cs="Arial"/>
          <w:bCs/>
          <w:sz w:val="20"/>
          <w:szCs w:val="20"/>
        </w:rPr>
        <w:t>азвива</w:t>
      </w:r>
      <w:r w:rsidR="00194A92">
        <w:rPr>
          <w:rFonts w:ascii="Arial" w:hAnsi="Arial" w:cs="Arial"/>
          <w:bCs/>
          <w:sz w:val="20"/>
          <w:szCs w:val="20"/>
        </w:rPr>
        <w:t>ть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финансовы</w:t>
      </w:r>
      <w:r w:rsidR="00D72A0A" w:rsidRPr="001544DF">
        <w:rPr>
          <w:rFonts w:ascii="Arial" w:hAnsi="Arial" w:cs="Arial"/>
          <w:bCs/>
          <w:sz w:val="20"/>
          <w:szCs w:val="20"/>
        </w:rPr>
        <w:t>е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 механизм</w:t>
      </w:r>
      <w:r w:rsidR="00D72A0A" w:rsidRPr="001544DF">
        <w:rPr>
          <w:rFonts w:ascii="Arial" w:hAnsi="Arial" w:cs="Arial"/>
          <w:bCs/>
          <w:sz w:val="20"/>
          <w:szCs w:val="20"/>
        </w:rPr>
        <w:t>ы</w:t>
      </w:r>
      <w:r w:rsidR="0066087E" w:rsidRPr="001544DF">
        <w:rPr>
          <w:rFonts w:ascii="Arial" w:hAnsi="Arial" w:cs="Arial"/>
          <w:bCs/>
          <w:sz w:val="20"/>
          <w:szCs w:val="20"/>
        </w:rPr>
        <w:t>, сни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жающие </w:t>
      </w:r>
      <w:r w:rsidR="0066087E" w:rsidRPr="001544DF">
        <w:rPr>
          <w:rFonts w:ascii="Arial" w:hAnsi="Arial" w:cs="Arial"/>
          <w:bCs/>
          <w:sz w:val="20"/>
          <w:szCs w:val="20"/>
        </w:rPr>
        <w:t xml:space="preserve">роль западных валют в </w:t>
      </w:r>
      <w:r w:rsidR="00194A92">
        <w:rPr>
          <w:rFonts w:ascii="Arial" w:hAnsi="Arial" w:cs="Arial"/>
          <w:bCs/>
          <w:sz w:val="20"/>
          <w:szCs w:val="20"/>
        </w:rPr>
        <w:t>международных расчётах</w:t>
      </w:r>
      <w:r w:rsidR="00D72A0A" w:rsidRPr="001544DF">
        <w:rPr>
          <w:rFonts w:ascii="Arial" w:hAnsi="Arial" w:cs="Arial"/>
          <w:bCs/>
          <w:sz w:val="20"/>
          <w:szCs w:val="20"/>
        </w:rPr>
        <w:t>, снижа</w:t>
      </w:r>
      <w:r w:rsidR="00194A92">
        <w:rPr>
          <w:rFonts w:ascii="Arial" w:hAnsi="Arial" w:cs="Arial"/>
          <w:bCs/>
          <w:sz w:val="20"/>
          <w:szCs w:val="20"/>
        </w:rPr>
        <w:t>ть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финансов</w:t>
      </w:r>
      <w:r w:rsidR="00194A92">
        <w:rPr>
          <w:rFonts w:ascii="Arial" w:hAnsi="Arial" w:cs="Arial"/>
          <w:bCs/>
          <w:sz w:val="20"/>
          <w:szCs w:val="20"/>
        </w:rPr>
        <w:t>ую</w:t>
      </w:r>
      <w:r w:rsidR="00D72A0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6087E" w:rsidRPr="001544DF">
        <w:rPr>
          <w:rFonts w:ascii="Arial" w:hAnsi="Arial" w:cs="Arial"/>
          <w:bCs/>
          <w:sz w:val="20"/>
          <w:szCs w:val="20"/>
        </w:rPr>
        <w:t>зависимость от Запада</w:t>
      </w:r>
      <w:r w:rsidR="0097405C" w:rsidRPr="001544DF">
        <w:rPr>
          <w:rFonts w:ascii="Arial" w:hAnsi="Arial" w:cs="Arial"/>
          <w:bCs/>
          <w:sz w:val="20"/>
          <w:szCs w:val="20"/>
        </w:rPr>
        <w:t>.</w:t>
      </w:r>
      <w:r w:rsidR="00C2413A" w:rsidRPr="001544DF">
        <w:rPr>
          <w:rFonts w:ascii="Arial" w:hAnsi="Arial" w:cs="Arial"/>
          <w:bCs/>
          <w:sz w:val="20"/>
          <w:szCs w:val="20"/>
        </w:rPr>
        <w:t xml:space="preserve"> </w:t>
      </w:r>
      <w:r w:rsidR="006A2B00" w:rsidRPr="006A2B00">
        <w:rPr>
          <w:rFonts w:ascii="Arial" w:hAnsi="Arial" w:cs="Arial"/>
          <w:sz w:val="20"/>
          <w:szCs w:val="20"/>
        </w:rPr>
        <w:t xml:space="preserve">После принятия США </w:t>
      </w:r>
      <w:r w:rsidR="0096677E">
        <w:rPr>
          <w:rFonts w:ascii="Arial" w:hAnsi="Arial" w:cs="Arial"/>
          <w:sz w:val="20"/>
          <w:szCs w:val="20"/>
        </w:rPr>
        <w:t xml:space="preserve">очередных </w:t>
      </w:r>
      <w:r w:rsidR="006A2B00" w:rsidRPr="006A2B00">
        <w:rPr>
          <w:rFonts w:ascii="Arial" w:hAnsi="Arial" w:cs="Arial"/>
          <w:sz w:val="20"/>
          <w:szCs w:val="20"/>
        </w:rPr>
        <w:t xml:space="preserve">санкций против </w:t>
      </w:r>
      <w:r w:rsidR="008E7AB4">
        <w:rPr>
          <w:rFonts w:ascii="Arial" w:hAnsi="Arial" w:cs="Arial"/>
          <w:sz w:val="20"/>
          <w:szCs w:val="20"/>
        </w:rPr>
        <w:t>нашей страны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>МИД</w:t>
      </w:r>
      <w:r w:rsidR="003B4CC6" w:rsidRPr="003B4CC6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 xml:space="preserve">РФ </w:t>
      </w:r>
      <w:r w:rsidR="00194A92">
        <w:rPr>
          <w:rFonts w:ascii="Arial" w:hAnsi="Arial" w:cs="Arial"/>
          <w:sz w:val="20"/>
          <w:szCs w:val="20"/>
        </w:rPr>
        <w:t>заявил</w:t>
      </w:r>
      <w:r w:rsidR="003B4CC6">
        <w:rPr>
          <w:rFonts w:ascii="Arial" w:hAnsi="Arial" w:cs="Arial"/>
          <w:sz w:val="20"/>
          <w:szCs w:val="20"/>
        </w:rPr>
        <w:t>, что это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3B4CC6">
        <w:rPr>
          <w:rFonts w:ascii="Arial" w:hAnsi="Arial" w:cs="Arial"/>
          <w:sz w:val="20"/>
          <w:szCs w:val="20"/>
        </w:rPr>
        <w:t>заставляет Москву двигаться в направлении</w:t>
      </w:r>
      <w:r w:rsidR="008E7AB4">
        <w:rPr>
          <w:rFonts w:ascii="Arial" w:hAnsi="Arial" w:cs="Arial"/>
          <w:sz w:val="20"/>
          <w:szCs w:val="20"/>
        </w:rPr>
        <w:t xml:space="preserve"> создания</w:t>
      </w:r>
      <w:r w:rsidR="006A2B00" w:rsidRPr="006A2B00">
        <w:rPr>
          <w:rFonts w:ascii="Arial" w:hAnsi="Arial" w:cs="Arial"/>
          <w:sz w:val="20"/>
          <w:szCs w:val="20"/>
        </w:rPr>
        <w:t xml:space="preserve"> </w:t>
      </w:r>
      <w:r w:rsidR="008E7AB4">
        <w:rPr>
          <w:rFonts w:ascii="Arial" w:hAnsi="Arial" w:cs="Arial"/>
          <w:sz w:val="20"/>
          <w:szCs w:val="20"/>
        </w:rPr>
        <w:t>системы международных расчётов</w:t>
      </w:r>
      <w:r w:rsidR="003B4CC6">
        <w:rPr>
          <w:rFonts w:ascii="Arial" w:hAnsi="Arial" w:cs="Arial"/>
          <w:sz w:val="20"/>
          <w:szCs w:val="20"/>
        </w:rPr>
        <w:t xml:space="preserve">, которая позволит исключить </w:t>
      </w:r>
      <w:r w:rsidR="006A2B00" w:rsidRPr="006A2B00">
        <w:rPr>
          <w:rFonts w:ascii="Arial" w:hAnsi="Arial" w:cs="Arial"/>
          <w:sz w:val="20"/>
          <w:szCs w:val="20"/>
        </w:rPr>
        <w:t xml:space="preserve">доллар </w:t>
      </w:r>
      <w:r w:rsidR="006778FD">
        <w:rPr>
          <w:rFonts w:ascii="Arial" w:hAnsi="Arial" w:cs="Arial"/>
          <w:sz w:val="20"/>
          <w:szCs w:val="20"/>
        </w:rPr>
        <w:t>при расчётах</w:t>
      </w:r>
      <w:r w:rsidR="006A2B00" w:rsidRPr="006A2B00">
        <w:rPr>
          <w:rFonts w:ascii="Arial" w:hAnsi="Arial" w:cs="Arial"/>
          <w:sz w:val="20"/>
          <w:szCs w:val="20"/>
        </w:rPr>
        <w:t>.</w:t>
      </w:r>
      <w:r w:rsidR="0096677E">
        <w:rPr>
          <w:rFonts w:ascii="Arial" w:hAnsi="Arial" w:cs="Arial"/>
          <w:sz w:val="20"/>
          <w:szCs w:val="20"/>
        </w:rPr>
        <w:t xml:space="preserve"> В рамках переговоров стран БРИКС </w:t>
      </w:r>
      <w:r w:rsidR="00AD2E31">
        <w:rPr>
          <w:rFonts w:ascii="Arial" w:hAnsi="Arial" w:cs="Arial"/>
          <w:sz w:val="20"/>
          <w:szCs w:val="20"/>
        </w:rPr>
        <w:t xml:space="preserve">создан </w:t>
      </w:r>
      <w:r w:rsidR="00AD2E31" w:rsidRPr="00AD2E31">
        <w:rPr>
          <w:rFonts w:ascii="Arial" w:hAnsi="Arial" w:cs="Arial"/>
          <w:sz w:val="20"/>
          <w:szCs w:val="20"/>
        </w:rPr>
        <w:t>Новый</w:t>
      </w:r>
      <w:r w:rsidR="00AD2E31">
        <w:rPr>
          <w:rFonts w:ascii="Arial" w:hAnsi="Arial" w:cs="Arial"/>
          <w:sz w:val="20"/>
          <w:szCs w:val="20"/>
        </w:rPr>
        <w:t xml:space="preserve"> </w:t>
      </w:r>
      <w:r w:rsidR="00AD2E31">
        <w:rPr>
          <w:rFonts w:ascii="Arial" w:hAnsi="Arial" w:cs="Arial"/>
          <w:bCs/>
          <w:sz w:val="20"/>
          <w:szCs w:val="20"/>
        </w:rPr>
        <w:t>бан</w:t>
      </w:r>
      <w:r w:rsidR="00AD2E31">
        <w:rPr>
          <w:rFonts w:ascii="Arial" w:hAnsi="Arial" w:cs="Arial"/>
          <w:sz w:val="20"/>
          <w:szCs w:val="20"/>
        </w:rPr>
        <w:t xml:space="preserve">к </w:t>
      </w:r>
      <w:r w:rsidR="001A5AC0">
        <w:rPr>
          <w:rFonts w:ascii="Arial" w:hAnsi="Arial" w:cs="Arial"/>
          <w:sz w:val="20"/>
          <w:szCs w:val="20"/>
        </w:rPr>
        <w:t>р</w:t>
      </w:r>
      <w:r w:rsidR="00AD2E31" w:rsidRPr="00AD2E31">
        <w:rPr>
          <w:rFonts w:ascii="Arial" w:hAnsi="Arial" w:cs="Arial"/>
          <w:sz w:val="20"/>
          <w:szCs w:val="20"/>
        </w:rPr>
        <w:t>азвития </w:t>
      </w:r>
      <w:r w:rsidR="00AD2E31">
        <w:rPr>
          <w:rFonts w:ascii="Arial" w:hAnsi="Arial" w:cs="Arial"/>
          <w:bCs/>
          <w:sz w:val="20"/>
          <w:szCs w:val="20"/>
        </w:rPr>
        <w:t>(НБР)</w:t>
      </w:r>
      <w:r>
        <w:rPr>
          <w:rFonts w:ascii="Arial" w:hAnsi="Arial" w:cs="Arial"/>
          <w:bCs/>
          <w:sz w:val="20"/>
          <w:szCs w:val="20"/>
        </w:rPr>
        <w:t>.</w:t>
      </w:r>
      <w:r w:rsidR="00AD2E31" w:rsidRPr="00AD2E31">
        <w:rPr>
          <w:rFonts w:ascii="Arial" w:hAnsi="Arial" w:cs="Arial"/>
          <w:b/>
          <w:bCs/>
          <w:color w:val="333333"/>
          <w:bdr w:val="none" w:sz="0" w:space="0" w:color="auto" w:frame="1"/>
          <w:shd w:val="clear" w:color="auto" w:fill="FFFFFF"/>
        </w:rPr>
        <w:t xml:space="preserve"> </w:t>
      </w:r>
      <w:r w:rsidR="001A5AC0">
        <w:rPr>
          <w:rFonts w:ascii="Arial" w:hAnsi="Arial" w:cs="Arial"/>
          <w:bCs/>
          <w:sz w:val="20"/>
          <w:szCs w:val="20"/>
        </w:rPr>
        <w:t>На саммите БРИКС</w:t>
      </w:r>
      <w:r w:rsidR="00546FCD">
        <w:rPr>
          <w:rFonts w:ascii="Arial" w:hAnsi="Arial" w:cs="Arial"/>
          <w:bCs/>
          <w:sz w:val="20"/>
          <w:szCs w:val="20"/>
        </w:rPr>
        <w:t xml:space="preserve"> 4-5 сентября решено проводить взаимные расчёты в национальной валюте, </w:t>
      </w:r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>с целью обеспечения инвестицион</w:t>
      </w:r>
      <w:r w:rsidR="00FE22C2">
        <w:rPr>
          <w:rFonts w:ascii="Arial" w:hAnsi="Arial" w:cs="Arial"/>
          <w:sz w:val="20"/>
          <w:szCs w:val="20"/>
          <w:shd w:val="clear" w:color="auto" w:fill="FFFFFF"/>
        </w:rPr>
        <w:t xml:space="preserve">ной устойчивости и </w:t>
      </w:r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>стимулировани</w:t>
      </w:r>
      <w:r w:rsidR="00FE22C2">
        <w:rPr>
          <w:rFonts w:ascii="Arial" w:hAnsi="Arial" w:cs="Arial"/>
          <w:sz w:val="20"/>
          <w:szCs w:val="20"/>
          <w:shd w:val="clear" w:color="auto" w:fill="FFFFFF"/>
        </w:rPr>
        <w:t>я</w:t>
      </w:r>
      <w:r w:rsidR="00FE22C2" w:rsidRPr="00FE22C2">
        <w:rPr>
          <w:rFonts w:ascii="Arial" w:hAnsi="Arial" w:cs="Arial"/>
          <w:sz w:val="20"/>
          <w:szCs w:val="20"/>
          <w:shd w:val="clear" w:color="auto" w:fill="FFFFFF"/>
        </w:rPr>
        <w:t xml:space="preserve"> развития национальных и региональных рынков облигаций </w:t>
      </w:r>
      <w:r w:rsidR="00FE22C2" w:rsidRPr="00FE22C2">
        <w:rPr>
          <w:rFonts w:ascii="Arial" w:hAnsi="Arial" w:cs="Arial"/>
          <w:bCs/>
          <w:sz w:val="20"/>
          <w:szCs w:val="20"/>
        </w:rPr>
        <w:t xml:space="preserve">создать Фонд облигаций в национальных валютах стран БРИКС, </w:t>
      </w:r>
      <w:r w:rsidR="00FB412B">
        <w:rPr>
          <w:rFonts w:ascii="Arial" w:hAnsi="Arial" w:cs="Arial"/>
          <w:bCs/>
          <w:sz w:val="20"/>
          <w:szCs w:val="20"/>
        </w:rPr>
        <w:t>а также обсуждались</w:t>
      </w:r>
      <w:r w:rsidR="00546FCD" w:rsidRPr="00FE22C2">
        <w:rPr>
          <w:rFonts w:ascii="Arial" w:hAnsi="Arial" w:cs="Arial"/>
          <w:bCs/>
          <w:sz w:val="20"/>
          <w:szCs w:val="20"/>
        </w:rPr>
        <w:t xml:space="preserve"> вопрос</w:t>
      </w:r>
      <w:r w:rsidR="00865B70">
        <w:rPr>
          <w:rFonts w:ascii="Arial" w:hAnsi="Arial" w:cs="Arial"/>
          <w:bCs/>
          <w:sz w:val="20"/>
          <w:szCs w:val="20"/>
        </w:rPr>
        <w:t>ы</w:t>
      </w:r>
      <w:r w:rsidR="00546FCD" w:rsidRPr="00FE22C2">
        <w:rPr>
          <w:rFonts w:ascii="Arial" w:hAnsi="Arial" w:cs="Arial"/>
          <w:bCs/>
          <w:sz w:val="20"/>
          <w:szCs w:val="20"/>
        </w:rPr>
        <w:t xml:space="preserve"> использования криптовалют.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364F7E" w:rsidRDefault="00073F35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Развитие отношений 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и усиление влияния стран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БРИКС, востребованность 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и </w:t>
      </w:r>
      <w:r w:rsidR="001153E0">
        <w:rPr>
          <w:rFonts w:ascii="Arial" w:hAnsi="Arial" w:cs="Arial"/>
          <w:sz w:val="20"/>
          <w:szCs w:val="20"/>
          <w:shd w:val="clear" w:color="auto" w:fill="FFFFFF"/>
        </w:rPr>
        <w:t>реализация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российских энергетических проектов в Европе и Азии, п</w:t>
      </w:r>
      <w:r w:rsidR="005B29A3">
        <w:rPr>
          <w:rFonts w:ascii="Arial" w:hAnsi="Arial" w:cs="Arial"/>
          <w:sz w:val="20"/>
          <w:szCs w:val="20"/>
          <w:shd w:val="clear" w:color="auto" w:fill="FFFFFF"/>
        </w:rPr>
        <w:t>оложительные результаты российской помощи Сири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>йской республике</w:t>
      </w:r>
      <w:r w:rsidR="005B29A3">
        <w:rPr>
          <w:rFonts w:ascii="Arial" w:hAnsi="Arial" w:cs="Arial"/>
          <w:sz w:val="20"/>
          <w:szCs w:val="20"/>
          <w:shd w:val="clear" w:color="auto" w:fill="FFFFFF"/>
        </w:rPr>
        <w:t xml:space="preserve"> в освобождении от </w:t>
      </w:r>
      <w:r w:rsidR="001153E0">
        <w:rPr>
          <w:rFonts w:ascii="Arial" w:hAnsi="Arial" w:cs="Arial"/>
          <w:sz w:val="20"/>
          <w:szCs w:val="20"/>
          <w:shd w:val="clear" w:color="auto" w:fill="FFFFFF"/>
        </w:rPr>
        <w:t xml:space="preserve">международного 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>террори</w:t>
      </w:r>
      <w:r w:rsidR="001153E0">
        <w:rPr>
          <w:rFonts w:ascii="Arial" w:hAnsi="Arial" w:cs="Arial"/>
          <w:sz w:val="20"/>
          <w:szCs w:val="20"/>
          <w:shd w:val="clear" w:color="auto" w:fill="FFFFFF"/>
        </w:rPr>
        <w:t>зма</w:t>
      </w:r>
      <w:r w:rsidR="005B29A3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 xml:space="preserve">ключевые возможности </w:t>
      </w:r>
      <w:r w:rsidR="007D16C8">
        <w:rPr>
          <w:rFonts w:ascii="Arial" w:hAnsi="Arial" w:cs="Arial"/>
          <w:sz w:val="20"/>
          <w:szCs w:val="20"/>
          <w:shd w:val="clear" w:color="auto" w:fill="FFFFFF"/>
        </w:rPr>
        <w:t xml:space="preserve">РФ 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 xml:space="preserve">в стабилизации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ситуации </w:t>
      </w:r>
      <w:r w:rsidR="0050795C">
        <w:rPr>
          <w:rFonts w:ascii="Arial" w:hAnsi="Arial" w:cs="Arial"/>
          <w:sz w:val="20"/>
          <w:szCs w:val="20"/>
          <w:shd w:val="clear" w:color="auto" w:fill="FFFFFF"/>
        </w:rPr>
        <w:t xml:space="preserve">на Ближнем Востоке и </w:t>
      </w:r>
      <w:r>
        <w:rPr>
          <w:rFonts w:ascii="Arial" w:hAnsi="Arial" w:cs="Arial"/>
          <w:sz w:val="20"/>
          <w:szCs w:val="20"/>
          <w:shd w:val="clear" w:color="auto" w:fill="FFFFFF"/>
        </w:rPr>
        <w:t>на К</w:t>
      </w:r>
      <w:r w:rsidR="00953F55">
        <w:rPr>
          <w:rFonts w:ascii="Arial" w:hAnsi="Arial" w:cs="Arial"/>
          <w:sz w:val="20"/>
          <w:szCs w:val="20"/>
          <w:shd w:val="clear" w:color="auto" w:fill="FFFFFF"/>
        </w:rPr>
        <w:t>орейском полу</w:t>
      </w:r>
      <w:r>
        <w:rPr>
          <w:rFonts w:ascii="Arial" w:hAnsi="Arial" w:cs="Arial"/>
          <w:sz w:val="20"/>
          <w:szCs w:val="20"/>
          <w:shd w:val="clear" w:color="auto" w:fill="FFFFFF"/>
        </w:rPr>
        <w:t>острове – все эти события демонстрируют усиление роли России в мире</w:t>
      </w:r>
      <w:r w:rsidR="001153E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057054" w:rsidRDefault="00BD10F6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На Дальневосточном экономическом форуме (ДЭФ) 6 – 7  сентября Россией подписаны д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олгосрочные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соглашения </w:t>
      </w:r>
      <w:r w:rsidR="00484D53">
        <w:rPr>
          <w:rFonts w:ascii="Arial" w:hAnsi="Arial" w:cs="Arial"/>
          <w:sz w:val="20"/>
          <w:szCs w:val="20"/>
          <w:shd w:val="clear" w:color="auto" w:fill="FFFFFF"/>
        </w:rPr>
        <w:t>с Японией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и</w:t>
      </w:r>
      <w:r w:rsidR="00484D53">
        <w:rPr>
          <w:rFonts w:ascii="Arial" w:hAnsi="Arial" w:cs="Arial"/>
          <w:sz w:val="20"/>
          <w:szCs w:val="20"/>
          <w:shd w:val="clear" w:color="auto" w:fill="FFFFFF"/>
        </w:rPr>
        <w:t xml:space="preserve"> Южной Кореей</w:t>
      </w:r>
      <w:r w:rsidR="00F24469">
        <w:rPr>
          <w:rFonts w:ascii="Arial" w:hAnsi="Arial" w:cs="Arial"/>
          <w:sz w:val="20"/>
          <w:szCs w:val="20"/>
          <w:shd w:val="clear" w:color="auto" w:fill="FFFFFF"/>
        </w:rPr>
        <w:t xml:space="preserve"> о развитии и инвестициях в дальневосточный регион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а также более 200 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>новы</w:t>
      </w:r>
      <w:r>
        <w:rPr>
          <w:rFonts w:ascii="Arial" w:hAnsi="Arial" w:cs="Arial"/>
          <w:sz w:val="20"/>
          <w:szCs w:val="20"/>
          <w:shd w:val="clear" w:color="auto" w:fill="FFFFFF"/>
        </w:rPr>
        <w:t>х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корпоративны</w:t>
      </w:r>
      <w:r>
        <w:rPr>
          <w:rFonts w:ascii="Arial" w:hAnsi="Arial" w:cs="Arial"/>
          <w:sz w:val="20"/>
          <w:szCs w:val="20"/>
          <w:shd w:val="clear" w:color="auto" w:fill="FFFFFF"/>
        </w:rPr>
        <w:t>х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соглашений и 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>контракт</w:t>
      </w:r>
      <w:r>
        <w:rPr>
          <w:rFonts w:ascii="Arial" w:hAnsi="Arial" w:cs="Arial"/>
          <w:sz w:val="20"/>
          <w:szCs w:val="20"/>
          <w:shd w:val="clear" w:color="auto" w:fill="FFFFFF"/>
        </w:rPr>
        <w:t>ов</w:t>
      </w:r>
      <w:r w:rsidR="00E52F2B">
        <w:rPr>
          <w:rFonts w:ascii="Arial" w:hAnsi="Arial" w:cs="Arial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sz w:val="20"/>
          <w:szCs w:val="20"/>
          <w:shd w:val="clear" w:color="auto" w:fill="FFFFFF"/>
        </w:rPr>
        <w:t>на сумму около 2,5 трлн. руб.</w:t>
      </w:r>
      <w:r w:rsidR="00A2473E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895876" w:rsidRDefault="00A2473E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На встрече президентов Турции и России</w:t>
      </w:r>
      <w:r w:rsidR="00057054">
        <w:rPr>
          <w:rFonts w:ascii="Arial" w:hAnsi="Arial" w:cs="Arial"/>
          <w:sz w:val="20"/>
          <w:szCs w:val="20"/>
          <w:shd w:val="clear" w:color="auto" w:fill="FFFFFF"/>
        </w:rPr>
        <w:t>, состоявшейся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28 сентября</w:t>
      </w:r>
      <w:r w:rsidR="00057054">
        <w:rPr>
          <w:rFonts w:ascii="Arial" w:hAnsi="Arial" w:cs="Arial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отмечен рост двухстороннего товарооборота за 7 месяцев 2017 года на 31,5%, рост числа российских туристов в 11 раз, успехи </w:t>
      </w:r>
      <w:proofErr w:type="gramStart"/>
      <w:r>
        <w:rPr>
          <w:rFonts w:ascii="Arial" w:hAnsi="Arial" w:cs="Arial"/>
          <w:sz w:val="20"/>
          <w:szCs w:val="20"/>
          <w:shd w:val="clear" w:color="auto" w:fill="FFFFFF"/>
        </w:rPr>
        <w:t xml:space="preserve">в </w:t>
      </w:r>
      <w:proofErr w:type="spellStart"/>
      <w:r w:rsidR="00057054">
        <w:rPr>
          <w:rFonts w:ascii="Arial" w:hAnsi="Arial" w:cs="Arial"/>
          <w:sz w:val="20"/>
          <w:szCs w:val="20"/>
          <w:shd w:val="clear" w:color="auto" w:fill="FFFFFF"/>
        </w:rPr>
        <w:t>в</w:t>
      </w:r>
      <w:proofErr w:type="spellEnd"/>
      <w:proofErr w:type="gramEnd"/>
      <w:r w:rsidR="00057054">
        <w:rPr>
          <w:rFonts w:ascii="Arial" w:hAnsi="Arial" w:cs="Arial"/>
          <w:sz w:val="20"/>
          <w:szCs w:val="20"/>
          <w:shd w:val="clear" w:color="auto" w:fill="FFFFFF"/>
        </w:rPr>
        <w:t xml:space="preserve"> совместном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строительстве Россией </w:t>
      </w:r>
      <w:r w:rsidR="00057054">
        <w:rPr>
          <w:rFonts w:ascii="Arial" w:hAnsi="Arial" w:cs="Arial"/>
          <w:sz w:val="20"/>
          <w:szCs w:val="20"/>
          <w:shd w:val="clear" w:color="auto" w:fill="FFFFFF"/>
        </w:rPr>
        <w:t>атомной электростанции «</w:t>
      </w:r>
      <w:proofErr w:type="spellStart"/>
      <w:r w:rsidR="00057054">
        <w:rPr>
          <w:rFonts w:ascii="Arial" w:hAnsi="Arial" w:cs="Arial"/>
          <w:sz w:val="20"/>
          <w:szCs w:val="20"/>
          <w:shd w:val="clear" w:color="auto" w:fill="FFFFFF"/>
        </w:rPr>
        <w:t>Аккую</w:t>
      </w:r>
      <w:proofErr w:type="spellEnd"/>
      <w:r w:rsidR="00057054">
        <w:rPr>
          <w:rFonts w:ascii="Arial" w:hAnsi="Arial" w:cs="Arial"/>
          <w:sz w:val="20"/>
          <w:szCs w:val="20"/>
          <w:shd w:val="clear" w:color="auto" w:fill="FFFFFF"/>
        </w:rPr>
        <w:t xml:space="preserve">» и газопровода «Турецкий поток», в результате которых Россия будет обеспечивать 17% электрической и 60 % тепловой энергии Турции. </w:t>
      </w:r>
    </w:p>
    <w:p w:rsidR="00E3316A" w:rsidRDefault="00DA1A4E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6-8 октября с</w:t>
      </w:r>
      <w:r w:rsidR="00FC696A">
        <w:rPr>
          <w:rFonts w:ascii="Arial" w:hAnsi="Arial" w:cs="Arial"/>
          <w:sz w:val="20"/>
          <w:szCs w:val="20"/>
          <w:shd w:val="clear" w:color="auto" w:fill="FFFFFF"/>
        </w:rPr>
        <w:t xml:space="preserve"> целью налаживания взаимовыгодного сотрудничества в различных областях </w:t>
      </w:r>
      <w:r w:rsidR="003A02CF">
        <w:rPr>
          <w:rFonts w:ascii="Arial" w:hAnsi="Arial" w:cs="Arial"/>
          <w:sz w:val="20"/>
          <w:szCs w:val="20"/>
          <w:shd w:val="clear" w:color="auto" w:fill="FFFFFF"/>
        </w:rPr>
        <w:t>Россию впервые посетила многочисленная делегация из Саудовской Аравии во главе с королем</w:t>
      </w:r>
      <w:r w:rsidR="00FC696A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770D33">
        <w:rPr>
          <w:rFonts w:ascii="Arial" w:hAnsi="Arial" w:cs="Arial"/>
          <w:sz w:val="20"/>
          <w:szCs w:val="20"/>
          <w:shd w:val="clear" w:color="auto" w:fill="FFFFFF"/>
        </w:rPr>
        <w:t xml:space="preserve">Это тем более значимо, </w:t>
      </w:r>
      <w:r w:rsidR="00823DFC">
        <w:rPr>
          <w:rFonts w:ascii="Arial" w:hAnsi="Arial" w:cs="Arial"/>
          <w:sz w:val="20"/>
          <w:szCs w:val="20"/>
          <w:shd w:val="clear" w:color="auto" w:fill="FFFFFF"/>
        </w:rPr>
        <w:t>если учесть</w:t>
      </w:r>
      <w:r w:rsidR="00FC696A">
        <w:rPr>
          <w:rFonts w:ascii="Arial" w:hAnsi="Arial" w:cs="Arial"/>
          <w:sz w:val="20"/>
          <w:szCs w:val="20"/>
          <w:shd w:val="clear" w:color="auto" w:fill="FFFFFF"/>
        </w:rPr>
        <w:t>, что СА - это важнейшая для США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и Запада</w:t>
      </w:r>
      <w:r w:rsidR="00FC696A">
        <w:rPr>
          <w:rFonts w:ascii="Arial" w:hAnsi="Arial" w:cs="Arial"/>
          <w:sz w:val="20"/>
          <w:szCs w:val="20"/>
          <w:shd w:val="clear" w:color="auto" w:fill="FFFFFF"/>
        </w:rPr>
        <w:t xml:space="preserve"> страна арабского мира, к тому же, сыгравшая ключевую</w:t>
      </w:r>
      <w:r w:rsidR="00770D33">
        <w:rPr>
          <w:rFonts w:ascii="Arial" w:hAnsi="Arial" w:cs="Arial"/>
          <w:sz w:val="20"/>
          <w:szCs w:val="20"/>
          <w:shd w:val="clear" w:color="auto" w:fill="FFFFFF"/>
        </w:rPr>
        <w:t xml:space="preserve"> роль в падении экономики СССР.</w:t>
      </w:r>
    </w:p>
    <w:p w:rsidR="00E3316A" w:rsidRDefault="00E3316A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11 октября </w:t>
      </w:r>
      <w:r w:rsidR="009B5821" w:rsidRPr="009B5821">
        <w:rPr>
          <w:rFonts w:ascii="Arial" w:hAnsi="Arial" w:cs="Arial"/>
          <w:sz w:val="20"/>
          <w:szCs w:val="20"/>
          <w:shd w:val="clear" w:color="auto" w:fill="FFFFFF"/>
        </w:rPr>
        <w:t xml:space="preserve">в Сочи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состоялся саммит стран СНГ с повесткой </w:t>
      </w:r>
      <w:r w:rsidR="009B5821">
        <w:rPr>
          <w:rFonts w:ascii="Arial" w:hAnsi="Arial" w:cs="Arial"/>
          <w:sz w:val="20"/>
          <w:szCs w:val="20"/>
          <w:shd w:val="clear" w:color="auto" w:fill="FFFFFF"/>
        </w:rPr>
        <w:t xml:space="preserve">всестороннего </w:t>
      </w:r>
      <w:r>
        <w:rPr>
          <w:rFonts w:ascii="Arial" w:hAnsi="Arial" w:cs="Arial"/>
          <w:sz w:val="20"/>
          <w:szCs w:val="20"/>
          <w:shd w:val="clear" w:color="auto" w:fill="FFFFFF"/>
        </w:rPr>
        <w:t>углубления экономических отношений, политических контактов и вопросов общей безопасности.</w:t>
      </w:r>
    </w:p>
    <w:p w:rsidR="00364F7E" w:rsidRDefault="009B5821" w:rsidP="001A5AC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>П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овышение 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влияния и </w:t>
      </w:r>
      <w:r w:rsidR="00770D33" w:rsidRPr="009B5821">
        <w:rPr>
          <w:rFonts w:ascii="Arial" w:hAnsi="Arial" w:cs="Arial"/>
          <w:b/>
          <w:sz w:val="20"/>
          <w:szCs w:val="20"/>
          <w:shd w:val="clear" w:color="auto" w:fill="FFFFFF"/>
        </w:rPr>
        <w:t>значимости</w:t>
      </w:r>
      <w:r w:rsidR="00FC696A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в мире 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>неизбежно положительно отраз</w:t>
      </w:r>
      <w:r w:rsidRPr="009B5821">
        <w:rPr>
          <w:rFonts w:ascii="Arial" w:hAnsi="Arial" w:cs="Arial"/>
          <w:b/>
          <w:sz w:val="20"/>
          <w:szCs w:val="20"/>
          <w:shd w:val="clear" w:color="auto" w:fill="FFFFFF"/>
        </w:rPr>
        <w:t>я</w:t>
      </w:r>
      <w:r w:rsidR="00895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тся и на экономике 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>России</w:t>
      </w:r>
      <w:r w:rsidR="00CD4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-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страны стабильной, последовательной и </w:t>
      </w:r>
      <w:r w:rsidR="00CD4876" w:rsidRPr="009B5821"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самой </w:t>
      </w:r>
      <w:r w:rsidR="002F5095" w:rsidRPr="009B5821">
        <w:rPr>
          <w:rFonts w:ascii="Arial" w:hAnsi="Arial" w:cs="Arial"/>
          <w:b/>
          <w:sz w:val="20"/>
          <w:szCs w:val="20"/>
          <w:shd w:val="clear" w:color="auto" w:fill="FFFFFF"/>
        </w:rPr>
        <w:t>защищённой</w:t>
      </w:r>
      <w:r w:rsidR="002F509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tbl>
      <w:tblPr>
        <w:tblStyle w:val="a6"/>
        <w:tblW w:w="10285" w:type="dxa"/>
        <w:tblLayout w:type="fixed"/>
        <w:tblLook w:val="0000" w:firstRow="0" w:lastRow="0" w:firstColumn="0" w:lastColumn="0" w:noHBand="0" w:noVBand="0"/>
      </w:tblPr>
      <w:tblGrid>
        <w:gridCol w:w="7128"/>
        <w:gridCol w:w="1094"/>
        <w:gridCol w:w="1197"/>
        <w:gridCol w:w="866"/>
      </w:tblGrid>
      <w:tr w:rsidR="00065CD7" w:rsidRPr="00992166" w:rsidTr="00823DFC">
        <w:trPr>
          <w:trHeight w:val="1058"/>
        </w:trPr>
        <w:tc>
          <w:tcPr>
            <w:tcW w:w="7128" w:type="dxa"/>
          </w:tcPr>
          <w:p w:rsidR="00065CD7" w:rsidRPr="00992166" w:rsidRDefault="00065CD7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4" w:type="dxa"/>
          </w:tcPr>
          <w:p w:rsidR="00065CD7" w:rsidRPr="00992166" w:rsidRDefault="00065CD7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август</w:t>
            </w:r>
            <w:r w:rsidRPr="00992166">
              <w:rPr>
                <w:rFonts w:ascii="Arial" w:hAnsi="Arial" w:cs="Arial"/>
                <w:sz w:val="20"/>
                <w:szCs w:val="20"/>
              </w:rPr>
              <w:br/>
              <w:t>2017г.</w:t>
            </w:r>
          </w:p>
        </w:tc>
        <w:tc>
          <w:tcPr>
            <w:tcW w:w="1197" w:type="dxa"/>
          </w:tcPr>
          <w:p w:rsidR="00065CD7" w:rsidRPr="006B4EF3" w:rsidRDefault="00065CD7" w:rsidP="006B4E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Янв-авг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2017г.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в % </w:t>
            </w:r>
            <w:r w:rsidRPr="006B4EF3">
              <w:rPr>
                <w:rFonts w:ascii="Arial" w:hAnsi="Arial" w:cs="Arial"/>
                <w:b/>
                <w:sz w:val="20"/>
                <w:szCs w:val="20"/>
              </w:rPr>
              <w:t xml:space="preserve">к </w:t>
            </w:r>
            <w:proofErr w:type="spellStart"/>
            <w:r w:rsidRPr="006B4EF3">
              <w:rPr>
                <w:rFonts w:ascii="Arial" w:hAnsi="Arial" w:cs="Arial"/>
                <w:b/>
                <w:sz w:val="20"/>
                <w:szCs w:val="20"/>
              </w:rPr>
              <w:t>янв-авг</w:t>
            </w:r>
            <w:proofErr w:type="spellEnd"/>
            <w:r w:rsidRPr="006B4EF3">
              <w:rPr>
                <w:rFonts w:ascii="Arial" w:hAnsi="Arial" w:cs="Arial"/>
                <w:b/>
                <w:sz w:val="20"/>
                <w:szCs w:val="20"/>
              </w:rPr>
              <w:t xml:space="preserve"> 2016г.</w:t>
            </w:r>
          </w:p>
        </w:tc>
        <w:tc>
          <w:tcPr>
            <w:tcW w:w="866" w:type="dxa"/>
          </w:tcPr>
          <w:p w:rsidR="00065CD7" w:rsidRPr="00F04D7F" w:rsidRDefault="00952E53" w:rsidP="00065CD7">
            <w:pPr>
              <w:tabs>
                <w:tab w:val="left" w:pos="933"/>
              </w:tabs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ВВП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</w:p>
        </w:tc>
        <w:tc>
          <w:tcPr>
            <w:tcW w:w="1094" w:type="dxa"/>
          </w:tcPr>
          <w:p w:rsidR="00F04D7F" w:rsidRPr="00992166" w:rsidRDefault="00F04D7F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4EF3">
              <w:rPr>
                <w:rFonts w:ascii="Arial" w:hAnsi="Arial" w:cs="Arial"/>
                <w:sz w:val="20"/>
                <w:szCs w:val="20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EF3">
              <w:rPr>
                <w:rFonts w:ascii="Arial" w:hAnsi="Arial" w:cs="Arial"/>
                <w:sz w:val="20"/>
                <w:szCs w:val="20"/>
              </w:rPr>
              <w:t>782,1</w:t>
            </w:r>
            <w:r w:rsidRPr="006B4EF3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293044" w:rsidRDefault="00F04D7F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  <w:vertAlign w:val="superscript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101,5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Pr="00293044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66" w:type="dxa"/>
          </w:tcPr>
          <w:p w:rsidR="00F04D7F" w:rsidRPr="00F04D7F" w:rsidRDefault="00F04D7F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4D7F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</w:t>
            </w:r>
            <w:r w:rsidRPr="00C212C5">
              <w:rPr>
                <w:rFonts w:ascii="Arial" w:hAnsi="Arial" w:cs="Arial"/>
                <w:sz w:val="20"/>
                <w:szCs w:val="20"/>
              </w:rPr>
              <w:t>обыча полезных ископаемых</w:t>
            </w:r>
          </w:p>
        </w:tc>
        <w:tc>
          <w:tcPr>
            <w:tcW w:w="1094" w:type="dxa"/>
          </w:tcPr>
          <w:p w:rsidR="00F04D7F" w:rsidRPr="00992166" w:rsidRDefault="00322CA4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2CA4">
              <w:rPr>
                <w:rFonts w:ascii="Arial" w:hAnsi="Arial" w:cs="Arial"/>
                <w:sz w:val="20"/>
                <w:szCs w:val="20"/>
              </w:rPr>
              <w:t>4103,3</w:t>
            </w:r>
            <w:r w:rsidRPr="00322CA4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065CD7" w:rsidRPr="00065CD7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97" w:type="dxa"/>
          </w:tcPr>
          <w:p w:rsidR="00F04D7F" w:rsidRPr="00FE4A52" w:rsidRDefault="00F04D7F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104,1</w:t>
            </w:r>
          </w:p>
        </w:tc>
        <w:tc>
          <w:tcPr>
            <w:tcW w:w="866" w:type="dxa"/>
          </w:tcPr>
          <w:p w:rsidR="00F04D7F" w:rsidRPr="00F04D7F" w:rsidRDefault="00322CA4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C212C5">
              <w:rPr>
                <w:rFonts w:ascii="Arial" w:hAnsi="Arial" w:cs="Arial"/>
                <w:sz w:val="20"/>
                <w:szCs w:val="20"/>
              </w:rPr>
              <w:t>брабатывающие производства</w:t>
            </w:r>
          </w:p>
        </w:tc>
        <w:tc>
          <w:tcPr>
            <w:tcW w:w="1094" w:type="dxa"/>
          </w:tcPr>
          <w:p w:rsidR="00F04D7F" w:rsidRPr="00992166" w:rsidRDefault="00A93CD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D8">
              <w:rPr>
                <w:rFonts w:ascii="Arial" w:hAnsi="Arial" w:cs="Arial"/>
                <w:sz w:val="20"/>
                <w:szCs w:val="20"/>
              </w:rPr>
              <w:t>4</w:t>
            </w:r>
            <w:r w:rsidR="00552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3CD8">
              <w:rPr>
                <w:rFonts w:ascii="Arial" w:hAnsi="Arial" w:cs="Arial"/>
                <w:sz w:val="20"/>
                <w:szCs w:val="20"/>
              </w:rPr>
              <w:t>894,3</w:t>
            </w:r>
            <w:r w:rsidRPr="00A93CD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FE4A52" w:rsidRDefault="00F04D7F" w:rsidP="00A17FBF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</w:t>
            </w:r>
            <w:r w:rsidR="00A17FBF">
              <w:rPr>
                <w:rFonts w:ascii="Arial" w:hAnsi="Arial" w:cs="Arial"/>
                <w:b/>
                <w:color w:val="00B050"/>
                <w:sz w:val="20"/>
                <w:szCs w:val="20"/>
              </w:rPr>
              <w:t>0,9</w:t>
            </w:r>
          </w:p>
        </w:tc>
        <w:tc>
          <w:tcPr>
            <w:tcW w:w="866" w:type="dxa"/>
          </w:tcPr>
          <w:p w:rsidR="00F04D7F" w:rsidRPr="00F04D7F" w:rsidRDefault="00322CA4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</w:t>
            </w:r>
          </w:p>
        </w:tc>
      </w:tr>
      <w:tr w:rsidR="00952E53" w:rsidRPr="00992166" w:rsidTr="00823DFC">
        <w:tc>
          <w:tcPr>
            <w:tcW w:w="7128" w:type="dxa"/>
          </w:tcPr>
          <w:p w:rsidR="00952E53" w:rsidRDefault="00952E53" w:rsidP="00952E53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</w:t>
            </w:r>
            <w:r w:rsidRPr="00952E53">
              <w:rPr>
                <w:rFonts w:ascii="Arial" w:hAnsi="Arial" w:cs="Arial"/>
                <w:sz w:val="20"/>
                <w:szCs w:val="20"/>
              </w:rPr>
              <w:t>промышленного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2E53">
              <w:rPr>
                <w:rFonts w:ascii="Arial" w:hAnsi="Arial" w:cs="Arial"/>
                <w:sz w:val="20"/>
                <w:szCs w:val="20"/>
              </w:rPr>
              <w:t>производства</w:t>
            </w:r>
          </w:p>
        </w:tc>
        <w:tc>
          <w:tcPr>
            <w:tcW w:w="1094" w:type="dxa"/>
          </w:tcPr>
          <w:p w:rsidR="00952E53" w:rsidRPr="00A93CD8" w:rsidRDefault="00952E53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952E53" w:rsidRPr="00003870" w:rsidRDefault="00952E53" w:rsidP="0099216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2E53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101,9</w:t>
            </w:r>
          </w:p>
        </w:tc>
        <w:tc>
          <w:tcPr>
            <w:tcW w:w="866" w:type="dxa"/>
          </w:tcPr>
          <w:p w:rsidR="00952E53" w:rsidRDefault="00952E53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212C5">
              <w:rPr>
                <w:rFonts w:ascii="Arial" w:hAnsi="Arial" w:cs="Arial"/>
                <w:sz w:val="20"/>
                <w:szCs w:val="20"/>
              </w:rPr>
              <w:t>троительство</w:t>
            </w:r>
          </w:p>
        </w:tc>
        <w:tc>
          <w:tcPr>
            <w:tcW w:w="1094" w:type="dxa"/>
          </w:tcPr>
          <w:p w:rsidR="00F04D7F" w:rsidRPr="00992166" w:rsidRDefault="00A93CD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3CD8">
              <w:rPr>
                <w:rFonts w:ascii="Arial" w:hAnsi="Arial" w:cs="Arial"/>
                <w:sz w:val="20"/>
                <w:szCs w:val="20"/>
              </w:rPr>
              <w:t>1</w:t>
            </w:r>
            <w:r w:rsidR="00552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3CD8">
              <w:rPr>
                <w:rFonts w:ascii="Arial" w:hAnsi="Arial" w:cs="Arial"/>
                <w:sz w:val="20"/>
                <w:szCs w:val="20"/>
              </w:rPr>
              <w:t>852,8</w:t>
            </w:r>
            <w:r w:rsidRPr="00A93CD8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FE4A52" w:rsidRDefault="00F04D7F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B3942">
              <w:rPr>
                <w:rFonts w:ascii="Arial" w:hAnsi="Arial" w:cs="Arial"/>
                <w:b/>
                <w:color w:val="FF0000"/>
                <w:sz w:val="20"/>
                <w:szCs w:val="20"/>
              </w:rPr>
              <w:t>99,7</w:t>
            </w:r>
          </w:p>
        </w:tc>
        <w:tc>
          <w:tcPr>
            <w:tcW w:w="866" w:type="dxa"/>
          </w:tcPr>
          <w:p w:rsidR="00F04D7F" w:rsidRPr="00F04D7F" w:rsidRDefault="00322CA4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F0363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Продукция сельского хозяйст</w:t>
            </w:r>
            <w:r>
              <w:rPr>
                <w:rFonts w:ascii="Arial" w:hAnsi="Arial" w:cs="Arial"/>
                <w:sz w:val="20"/>
                <w:szCs w:val="20"/>
              </w:rPr>
              <w:t>ва,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млрд.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094" w:type="dxa"/>
          </w:tcPr>
          <w:p w:rsidR="00F04D7F" w:rsidRPr="00992166" w:rsidRDefault="00F04D7F" w:rsidP="00F0363F">
            <w:pPr>
              <w:contextualSpacing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3870">
              <w:rPr>
                <w:rFonts w:ascii="Arial" w:hAnsi="Arial" w:cs="Arial"/>
                <w:sz w:val="20"/>
                <w:szCs w:val="20"/>
              </w:rPr>
              <w:t>1</w:t>
            </w:r>
            <w:r w:rsidR="00552A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03870">
              <w:rPr>
                <w:rFonts w:ascii="Arial" w:hAnsi="Arial" w:cs="Arial"/>
                <w:sz w:val="20"/>
                <w:szCs w:val="20"/>
              </w:rPr>
              <w:t>104,8</w:t>
            </w:r>
            <w:r w:rsidRPr="00F04D7F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322CA4" w:rsidRDefault="00322CA4" w:rsidP="00F0363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CA4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101,5</w:t>
            </w:r>
          </w:p>
        </w:tc>
        <w:tc>
          <w:tcPr>
            <w:tcW w:w="866" w:type="dxa"/>
          </w:tcPr>
          <w:p w:rsidR="00F04D7F" w:rsidRPr="00F0363F" w:rsidRDefault="00322CA4" w:rsidP="00F0363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</w:tr>
      <w:tr w:rsidR="00F04D7F" w:rsidRPr="00992166" w:rsidTr="00823DFC">
        <w:tc>
          <w:tcPr>
            <w:tcW w:w="7128" w:type="dxa"/>
          </w:tcPr>
          <w:p w:rsidR="00065CD7" w:rsidRPr="00065CD7" w:rsidRDefault="00065CD7" w:rsidP="00065C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065CD7">
              <w:rPr>
                <w:rFonts w:ascii="Arial" w:hAnsi="Arial" w:cs="Arial"/>
                <w:sz w:val="20"/>
                <w:szCs w:val="20"/>
              </w:rPr>
              <w:t>орговля оптовая и розничная; ремонт</w:t>
            </w:r>
          </w:p>
          <w:p w:rsidR="00F04D7F" w:rsidRPr="004B5E70" w:rsidRDefault="00065CD7" w:rsidP="00065CD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65CD7">
              <w:rPr>
                <w:rFonts w:ascii="Arial" w:hAnsi="Arial" w:cs="Arial"/>
                <w:sz w:val="20"/>
                <w:szCs w:val="20"/>
              </w:rPr>
              <w:t>автотранспортных средств и мотоциклов</w:t>
            </w:r>
          </w:p>
        </w:tc>
        <w:tc>
          <w:tcPr>
            <w:tcW w:w="1094" w:type="dxa"/>
          </w:tcPr>
          <w:p w:rsidR="00F04D7F" w:rsidRPr="00065CD7" w:rsidRDefault="00065CD7" w:rsidP="00065CD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D7">
              <w:rPr>
                <w:rFonts w:ascii="Arial" w:hAnsi="Arial" w:cs="Arial"/>
                <w:sz w:val="20"/>
                <w:szCs w:val="20"/>
              </w:rPr>
              <w:t>5754,3</w:t>
            </w:r>
            <w:r w:rsidRPr="00065CD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FE4A52" w:rsidRDefault="00F04D7F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103,8</w:t>
            </w:r>
          </w:p>
        </w:tc>
        <w:tc>
          <w:tcPr>
            <w:tcW w:w="866" w:type="dxa"/>
          </w:tcPr>
          <w:p w:rsidR="00F04D7F" w:rsidRPr="00F04D7F" w:rsidRDefault="00065CD7" w:rsidP="00065CD7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065CD7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Т</w:t>
            </w:r>
            <w:r w:rsidRPr="00065CD7">
              <w:rPr>
                <w:rFonts w:ascii="Arial" w:hAnsi="Arial" w:cs="Arial"/>
                <w:sz w:val="20"/>
                <w:szCs w:val="20"/>
              </w:rPr>
              <w:t>ранспортировка и хранение</w:t>
            </w:r>
          </w:p>
        </w:tc>
        <w:tc>
          <w:tcPr>
            <w:tcW w:w="1094" w:type="dxa"/>
          </w:tcPr>
          <w:p w:rsidR="00F04D7F" w:rsidRPr="00065CD7" w:rsidRDefault="00065CD7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CD7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65CD7">
              <w:rPr>
                <w:rFonts w:ascii="Arial" w:hAnsi="Arial" w:cs="Arial"/>
                <w:sz w:val="20"/>
                <w:szCs w:val="20"/>
              </w:rPr>
              <w:t>411,6</w:t>
            </w:r>
            <w:r w:rsidRPr="00065CD7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FE4A52" w:rsidRDefault="00F04D7F" w:rsidP="0099216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107,2</w:t>
            </w:r>
          </w:p>
        </w:tc>
        <w:tc>
          <w:tcPr>
            <w:tcW w:w="866" w:type="dxa"/>
          </w:tcPr>
          <w:p w:rsidR="00F04D7F" w:rsidRPr="00F04D7F" w:rsidRDefault="00952E53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4F7E94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C212C5">
              <w:rPr>
                <w:rFonts w:ascii="Arial" w:hAnsi="Arial" w:cs="Arial"/>
                <w:color w:val="000000"/>
                <w:sz w:val="20"/>
                <w:szCs w:val="20"/>
              </w:rPr>
              <w:t>еятельность по операциям с недвижимым имуществом</w:t>
            </w:r>
          </w:p>
        </w:tc>
        <w:tc>
          <w:tcPr>
            <w:tcW w:w="1094" w:type="dxa"/>
          </w:tcPr>
          <w:p w:rsidR="00F04D7F" w:rsidRPr="00956747" w:rsidRDefault="00F04D7F" w:rsidP="0099216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4D7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552A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4D7F">
              <w:rPr>
                <w:rFonts w:ascii="Arial" w:hAnsi="Arial" w:cs="Arial"/>
                <w:color w:val="000000"/>
                <w:sz w:val="20"/>
                <w:szCs w:val="20"/>
              </w:rPr>
              <w:t>662,4</w:t>
            </w:r>
            <w:r w:rsidRPr="00F04D7F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97" w:type="dxa"/>
          </w:tcPr>
          <w:p w:rsidR="00F04D7F" w:rsidRPr="00FE4A52" w:rsidRDefault="00F04D7F" w:rsidP="0099216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212C5">
              <w:rPr>
                <w:rFonts w:ascii="Arial" w:hAnsi="Arial" w:cs="Arial"/>
                <w:b/>
                <w:color w:val="00B050"/>
                <w:sz w:val="20"/>
                <w:szCs w:val="20"/>
              </w:rPr>
              <w:t>100,9</w:t>
            </w:r>
          </w:p>
        </w:tc>
        <w:tc>
          <w:tcPr>
            <w:tcW w:w="866" w:type="dxa"/>
          </w:tcPr>
          <w:p w:rsidR="00F04D7F" w:rsidRPr="00F04D7F" w:rsidRDefault="00952E53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9,8</w:t>
            </w:r>
          </w:p>
        </w:tc>
      </w:tr>
      <w:tr w:rsidR="00F04D7F" w:rsidRPr="00992166" w:rsidTr="00823DFC">
        <w:tc>
          <w:tcPr>
            <w:tcW w:w="7128" w:type="dxa"/>
          </w:tcPr>
          <w:p w:rsidR="00F04D7F" w:rsidRPr="00992166" w:rsidRDefault="00F04D7F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r w:rsidRPr="00C212C5">
              <w:rPr>
                <w:rFonts w:ascii="Arial" w:hAnsi="Arial" w:cs="Arial"/>
                <w:color w:val="000000"/>
                <w:sz w:val="20"/>
                <w:szCs w:val="20"/>
              </w:rPr>
              <w:t>еятельность в области информации и связи</w:t>
            </w:r>
          </w:p>
        </w:tc>
        <w:tc>
          <w:tcPr>
            <w:tcW w:w="1094" w:type="dxa"/>
          </w:tcPr>
          <w:p w:rsidR="00F04D7F" w:rsidRPr="00992166" w:rsidRDefault="00F04D7F" w:rsidP="0099216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6747">
              <w:rPr>
                <w:rFonts w:ascii="Arial" w:hAnsi="Arial" w:cs="Arial"/>
                <w:color w:val="000000"/>
                <w:sz w:val="20"/>
                <w:szCs w:val="20"/>
              </w:rPr>
              <w:t>136</w:t>
            </w:r>
            <w:r w:rsidRPr="00992166">
              <w:rPr>
                <w:rFonts w:ascii="Arial" w:hAnsi="Arial" w:cs="Arial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97" w:type="dxa"/>
          </w:tcPr>
          <w:p w:rsidR="00F04D7F" w:rsidRPr="00FE4A52" w:rsidRDefault="00F04D7F" w:rsidP="0099216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212C5">
              <w:rPr>
                <w:rFonts w:ascii="Arial" w:hAnsi="Arial" w:cs="Arial"/>
                <w:b/>
                <w:color w:val="00B050"/>
                <w:sz w:val="20"/>
                <w:szCs w:val="20"/>
              </w:rPr>
              <w:t>101,1</w:t>
            </w:r>
          </w:p>
        </w:tc>
        <w:tc>
          <w:tcPr>
            <w:tcW w:w="866" w:type="dxa"/>
          </w:tcPr>
          <w:p w:rsidR="00F04D7F" w:rsidRPr="00F04D7F" w:rsidRDefault="00065CD7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</w:t>
            </w: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99216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млрд.долларов США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45,5</w:t>
            </w: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127,0 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  <w:vertAlign w:val="superscript"/>
              </w:rPr>
              <w:t>8</w:t>
            </w: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6" w:type="dxa"/>
            <w:vMerge w:val="restart"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Инвестиции в основной капи</w:t>
            </w:r>
            <w:r>
              <w:rPr>
                <w:rFonts w:ascii="Arial" w:hAnsi="Arial" w:cs="Arial"/>
                <w:sz w:val="20"/>
                <w:szCs w:val="20"/>
              </w:rPr>
              <w:t>тал,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млрд.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  <w:lang w:val="en-US"/>
              </w:rPr>
              <w:t>723</w:t>
            </w:r>
            <w:r w:rsidRPr="00992166">
              <w:rPr>
                <w:rFonts w:ascii="Arial" w:hAnsi="Arial" w:cs="Arial"/>
                <w:sz w:val="20"/>
                <w:szCs w:val="20"/>
              </w:rPr>
              <w:t>,7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Pr="00992166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4B5E70"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104,8</w:t>
            </w:r>
            <w:r w:rsidRPr="004B5E70"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66" w:type="dxa"/>
            <w:vMerge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41A1">
              <w:rPr>
                <w:rFonts w:ascii="Arial" w:hAnsi="Arial" w:cs="Arial"/>
                <w:color w:val="000000"/>
                <w:sz w:val="20"/>
                <w:szCs w:val="20"/>
              </w:rPr>
              <w:t>103,3</w:t>
            </w:r>
            <w:r w:rsidRPr="007441A1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104,3</w:t>
            </w:r>
          </w:p>
        </w:tc>
        <w:tc>
          <w:tcPr>
            <w:tcW w:w="866" w:type="dxa"/>
            <w:vMerge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Реальные располагаемые</w:t>
            </w:r>
            <w:r w:rsidRPr="00992166">
              <w:rPr>
                <w:rFonts w:ascii="Arial" w:hAnsi="Arial" w:cs="Arial"/>
                <w:bCs/>
                <w:sz w:val="20"/>
                <w:szCs w:val="20"/>
              </w:rPr>
              <w:t xml:space="preserve"> денежные доходы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98,8</w:t>
            </w:r>
          </w:p>
        </w:tc>
        <w:tc>
          <w:tcPr>
            <w:tcW w:w="866" w:type="dxa"/>
            <w:vMerge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Среднем</w:t>
            </w:r>
            <w:r>
              <w:rPr>
                <w:rFonts w:ascii="Arial" w:hAnsi="Arial" w:cs="Arial"/>
                <w:sz w:val="20"/>
                <w:szCs w:val="20"/>
              </w:rPr>
              <w:t>есячная начисленная</w:t>
            </w:r>
            <w:r w:rsidRPr="00992166">
              <w:rPr>
                <w:rFonts w:ascii="Arial" w:hAnsi="Arial" w:cs="Arial"/>
                <w:sz w:val="20"/>
                <w:szCs w:val="20"/>
              </w:rPr>
              <w:t xml:space="preserve"> заработная плата работников</w:t>
            </w:r>
            <w:r w:rsidR="000C4C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организаций:</w:t>
            </w:r>
          </w:p>
        </w:tc>
        <w:tc>
          <w:tcPr>
            <w:tcW w:w="1094" w:type="dxa"/>
          </w:tcPr>
          <w:p w:rsidR="001C6768" w:rsidRPr="00992166" w:rsidRDefault="001C6768" w:rsidP="00F0363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66" w:type="dxa"/>
            <w:vMerge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92166">
              <w:rPr>
                <w:rFonts w:ascii="Arial" w:hAnsi="Arial" w:cs="Arial"/>
                <w:sz w:val="20"/>
                <w:szCs w:val="20"/>
              </w:rPr>
              <w:t>номинальная, рублей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38 040</w:t>
            </w:r>
          </w:p>
        </w:tc>
        <w:tc>
          <w:tcPr>
            <w:tcW w:w="1197" w:type="dxa"/>
          </w:tcPr>
          <w:p w:rsidR="001C6768" w:rsidRPr="00FE4A52" w:rsidRDefault="001C6768" w:rsidP="00E11D9D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E4A52">
              <w:rPr>
                <w:rFonts w:ascii="Arial" w:hAnsi="Arial" w:cs="Arial"/>
                <w:b/>
                <w:color w:val="00B050"/>
                <w:sz w:val="20"/>
                <w:szCs w:val="20"/>
              </w:rPr>
              <w:t>107,</w:t>
            </w: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2</w:t>
            </w:r>
          </w:p>
        </w:tc>
        <w:tc>
          <w:tcPr>
            <w:tcW w:w="866" w:type="dxa"/>
            <w:vMerge/>
          </w:tcPr>
          <w:p w:rsidR="001C6768" w:rsidRPr="00F04D7F" w:rsidRDefault="001C6768" w:rsidP="00E11D9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992166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102,9</w:t>
            </w:r>
          </w:p>
        </w:tc>
        <w:tc>
          <w:tcPr>
            <w:tcW w:w="866" w:type="dxa"/>
            <w:vMerge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768" w:rsidRPr="00992166" w:rsidTr="00823DFC">
        <w:tc>
          <w:tcPr>
            <w:tcW w:w="7128" w:type="dxa"/>
          </w:tcPr>
          <w:p w:rsidR="001C6768" w:rsidRPr="00992166" w:rsidRDefault="001C6768" w:rsidP="004F7E94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992166">
              <w:rPr>
                <w:rFonts w:ascii="Arial" w:hAnsi="Arial" w:cs="Arial"/>
                <w:sz w:val="20"/>
                <w:szCs w:val="20"/>
              </w:rPr>
              <w:t>Общая численность безработных (в возрасте 15-72 лет), млн.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2166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094" w:type="dxa"/>
          </w:tcPr>
          <w:p w:rsidR="001C6768" w:rsidRPr="00992166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</w:t>
            </w:r>
          </w:p>
        </w:tc>
        <w:tc>
          <w:tcPr>
            <w:tcW w:w="1197" w:type="dxa"/>
          </w:tcPr>
          <w:p w:rsidR="001C6768" w:rsidRPr="00FE4A52" w:rsidRDefault="001C6768" w:rsidP="00992166">
            <w:pPr>
              <w:contextualSpacing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93,0</w:t>
            </w:r>
          </w:p>
        </w:tc>
        <w:tc>
          <w:tcPr>
            <w:tcW w:w="866" w:type="dxa"/>
            <w:vMerge/>
          </w:tcPr>
          <w:p w:rsidR="001C6768" w:rsidRPr="00F04D7F" w:rsidRDefault="001C6768" w:rsidP="00992166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C2C" w:rsidRPr="00F854DD" w:rsidRDefault="000C4C2C" w:rsidP="004A6635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 w:rsidRPr="00F854DD">
        <w:rPr>
          <w:rFonts w:ascii="Arial" w:hAnsi="Arial" w:cs="Arial"/>
          <w:i/>
          <w:sz w:val="16"/>
          <w:szCs w:val="16"/>
        </w:rPr>
        <w:t xml:space="preserve">  1) </w:t>
      </w:r>
      <w:r>
        <w:rPr>
          <w:rFonts w:ascii="TimesNewRomanPS-ItalicMT" w:hAnsi="TimesNewRomanPS-ItalicMT" w:cs="TimesNewRomanPS-ItalicMT"/>
          <w:i/>
          <w:iCs/>
          <w:sz w:val="16"/>
          <w:szCs w:val="16"/>
        </w:rPr>
        <w:t>Данные за I полугодие 2017г. (первая оценка)</w:t>
      </w:r>
      <w:r w:rsidRPr="00F854DD">
        <w:rPr>
          <w:rFonts w:ascii="Arial" w:hAnsi="Arial" w:cs="Arial"/>
          <w:i/>
          <w:sz w:val="16"/>
          <w:szCs w:val="16"/>
        </w:rPr>
        <w:t>.</w:t>
      </w:r>
    </w:p>
    <w:p w:rsidR="000C4C2C" w:rsidRPr="00F854DD" w:rsidRDefault="000C4C2C" w:rsidP="004A6635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 w:rsidRPr="00F854DD">
        <w:rPr>
          <w:rFonts w:ascii="Arial" w:hAnsi="Arial" w:cs="Arial"/>
          <w:i/>
          <w:sz w:val="16"/>
          <w:szCs w:val="16"/>
        </w:rPr>
        <w:t xml:space="preserve">  2</w:t>
      </w:r>
      <w:r>
        <w:rPr>
          <w:rFonts w:ascii="Arial" w:hAnsi="Arial" w:cs="Arial"/>
          <w:i/>
          <w:sz w:val="16"/>
          <w:szCs w:val="16"/>
        </w:rPr>
        <w:t xml:space="preserve">) </w:t>
      </w:r>
      <w:r w:rsidRPr="007F66D6">
        <w:rPr>
          <w:rFonts w:ascii="Arial" w:hAnsi="Arial" w:cs="Arial"/>
          <w:i/>
          <w:iCs/>
          <w:sz w:val="16"/>
          <w:szCs w:val="16"/>
        </w:rPr>
        <w:t>I полугодие 2017г. в % к I полугодию 2016 года.</w:t>
      </w:r>
    </w:p>
    <w:p w:rsidR="000C4C2C" w:rsidRPr="00F854DD" w:rsidRDefault="000C4C2C" w:rsidP="004A6635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 w:rsidRPr="00F854DD">
        <w:rPr>
          <w:rFonts w:ascii="Arial" w:hAnsi="Arial" w:cs="Arial"/>
          <w:i/>
          <w:sz w:val="16"/>
          <w:szCs w:val="16"/>
        </w:rPr>
        <w:t xml:space="preserve">  3) </w:t>
      </w:r>
      <w:r w:rsidRPr="00F854DD">
        <w:rPr>
          <w:rFonts w:ascii="Arial" w:hAnsi="Arial" w:cs="Arial"/>
          <w:i/>
          <w:sz w:val="16"/>
          <w:szCs w:val="16"/>
          <w:lang w:val="en-US"/>
        </w:rPr>
        <w:t>I</w:t>
      </w:r>
      <w:r w:rsidRPr="00F854DD">
        <w:rPr>
          <w:rFonts w:ascii="Arial" w:hAnsi="Arial" w:cs="Arial"/>
          <w:i/>
          <w:sz w:val="16"/>
          <w:szCs w:val="16"/>
        </w:rPr>
        <w:t xml:space="preserve"> полугодие 2017г. и </w:t>
      </w:r>
      <w:r w:rsidRPr="00F854DD">
        <w:rPr>
          <w:rFonts w:ascii="Arial" w:hAnsi="Arial" w:cs="Arial"/>
          <w:i/>
          <w:sz w:val="16"/>
          <w:szCs w:val="16"/>
          <w:lang w:val="en-US"/>
        </w:rPr>
        <w:t>I</w:t>
      </w:r>
      <w:r w:rsidRPr="00F854DD">
        <w:rPr>
          <w:rFonts w:ascii="Arial" w:hAnsi="Arial" w:cs="Arial"/>
          <w:i/>
          <w:sz w:val="16"/>
          <w:szCs w:val="16"/>
        </w:rPr>
        <w:t xml:space="preserve"> полугодие 2016г. в % к соответствующему периоду предыдущего года, в фактически действовавших ценах.</w:t>
      </w:r>
    </w:p>
    <w:p w:rsidR="000C4C2C" w:rsidRDefault="000C4C2C" w:rsidP="004A6635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 w:rsidRPr="00F854DD">
        <w:rPr>
          <w:rFonts w:ascii="Arial" w:hAnsi="Arial" w:cs="Arial"/>
          <w:i/>
          <w:sz w:val="16"/>
          <w:szCs w:val="16"/>
        </w:rPr>
        <w:t xml:space="preserve">  4) Данные за </w:t>
      </w:r>
      <w:r w:rsidRPr="00F854DD">
        <w:rPr>
          <w:rFonts w:ascii="Arial" w:hAnsi="Arial" w:cs="Arial"/>
          <w:i/>
          <w:sz w:val="16"/>
          <w:szCs w:val="16"/>
          <w:lang w:val="en-US"/>
        </w:rPr>
        <w:t>I</w:t>
      </w:r>
      <w:r w:rsidRPr="00F854DD">
        <w:rPr>
          <w:rFonts w:ascii="Arial" w:hAnsi="Arial" w:cs="Arial"/>
          <w:i/>
          <w:sz w:val="16"/>
          <w:szCs w:val="16"/>
        </w:rPr>
        <w:t xml:space="preserve"> полугодие 2017 года</w:t>
      </w:r>
    </w:p>
    <w:p w:rsidR="000C4C2C" w:rsidRPr="00F04D7F" w:rsidRDefault="000C4C2C" w:rsidP="004A6635">
      <w:pPr>
        <w:spacing w:after="0"/>
        <w:contextualSpacing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5) к августу 2016 г.</w:t>
      </w:r>
    </w:p>
    <w:p w:rsidR="00F6312B" w:rsidRDefault="00F6312B" w:rsidP="00F6312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956747" w:rsidRDefault="00FE4A52" w:rsidP="00823DFC">
      <w:pPr>
        <w:spacing w:after="0" w:line="240" w:lineRule="auto"/>
        <w:ind w:firstLine="426"/>
        <w:jc w:val="both"/>
      </w:pPr>
      <w:r w:rsidRPr="007D386A">
        <w:rPr>
          <w:rFonts w:ascii="Arial" w:hAnsi="Arial" w:cs="Arial"/>
          <w:sz w:val="20"/>
          <w:szCs w:val="20"/>
        </w:rPr>
        <w:t>Практически по всем основным показателям видим положительную динамику</w:t>
      </w:r>
      <w:r w:rsidR="00F21417">
        <w:rPr>
          <w:rFonts w:ascii="Arial" w:hAnsi="Arial" w:cs="Arial"/>
          <w:sz w:val="20"/>
          <w:szCs w:val="20"/>
        </w:rPr>
        <w:t xml:space="preserve"> (по физическому объ</w:t>
      </w:r>
      <w:r w:rsidR="000C4C2C">
        <w:rPr>
          <w:rFonts w:ascii="Arial" w:hAnsi="Arial" w:cs="Arial"/>
          <w:sz w:val="20"/>
          <w:szCs w:val="20"/>
        </w:rPr>
        <w:t>ё</w:t>
      </w:r>
      <w:r w:rsidR="00F21417">
        <w:rPr>
          <w:rFonts w:ascii="Arial" w:hAnsi="Arial" w:cs="Arial"/>
          <w:sz w:val="20"/>
          <w:szCs w:val="20"/>
        </w:rPr>
        <w:t>му)</w:t>
      </w:r>
      <w:r w:rsidR="006B32B8">
        <w:rPr>
          <w:rFonts w:ascii="Arial" w:hAnsi="Arial" w:cs="Arial"/>
          <w:sz w:val="20"/>
          <w:szCs w:val="20"/>
        </w:rPr>
        <w:t>:</w:t>
      </w:r>
      <w:r w:rsidRPr="007D386A">
        <w:rPr>
          <w:rFonts w:ascii="Arial" w:hAnsi="Arial" w:cs="Arial"/>
          <w:sz w:val="20"/>
          <w:szCs w:val="20"/>
        </w:rPr>
        <w:t xml:space="preserve"> </w:t>
      </w:r>
      <w:r w:rsidR="00D35F7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a6"/>
        <w:tblW w:w="10049" w:type="dxa"/>
        <w:jc w:val="center"/>
        <w:tblLayout w:type="fixed"/>
        <w:tblLook w:val="04A0" w:firstRow="1" w:lastRow="0" w:firstColumn="1" w:lastColumn="0" w:noHBand="0" w:noVBand="1"/>
      </w:tblPr>
      <w:tblGrid>
        <w:gridCol w:w="8631"/>
        <w:gridCol w:w="1418"/>
      </w:tblGrid>
      <w:tr w:rsidR="00A17FBF" w:rsidRPr="003C3A8E" w:rsidTr="001C6768">
        <w:trPr>
          <w:trHeight w:val="230"/>
          <w:jc w:val="center"/>
        </w:trPr>
        <w:tc>
          <w:tcPr>
            <w:tcW w:w="8631" w:type="dxa"/>
            <w:vMerge w:val="restart"/>
            <w:vAlign w:val="center"/>
            <w:hideMark/>
          </w:tcPr>
          <w:p w:rsidR="00A17FBF" w:rsidRPr="003C3A8E" w:rsidRDefault="00A17FBF" w:rsidP="003C3A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  <w:hideMark/>
          </w:tcPr>
          <w:p w:rsidR="00A17FBF" w:rsidRPr="00B30D36" w:rsidRDefault="00A17FBF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A17FBF">
              <w:rPr>
                <w:rFonts w:ascii="Arial" w:hAnsi="Arial" w:cs="Arial"/>
                <w:b/>
                <w:sz w:val="16"/>
                <w:szCs w:val="16"/>
              </w:rPr>
              <w:t>Янв-авг</w:t>
            </w:r>
            <w:proofErr w:type="spellEnd"/>
            <w:r w:rsidRPr="00A17FBF">
              <w:rPr>
                <w:rFonts w:ascii="Arial" w:hAnsi="Arial" w:cs="Arial"/>
                <w:b/>
                <w:sz w:val="16"/>
                <w:szCs w:val="16"/>
              </w:rPr>
              <w:t xml:space="preserve"> 2017г.</w:t>
            </w:r>
            <w:r w:rsidRPr="00A17FBF">
              <w:rPr>
                <w:rFonts w:ascii="Arial" w:hAnsi="Arial" w:cs="Arial"/>
                <w:b/>
                <w:sz w:val="16"/>
                <w:szCs w:val="16"/>
              </w:rPr>
              <w:br/>
              <w:t xml:space="preserve">в % к </w:t>
            </w:r>
            <w:proofErr w:type="spellStart"/>
            <w:r w:rsidRPr="00A17FBF">
              <w:rPr>
                <w:rFonts w:ascii="Arial" w:hAnsi="Arial" w:cs="Arial"/>
                <w:b/>
                <w:sz w:val="16"/>
                <w:szCs w:val="16"/>
              </w:rPr>
              <w:t>янв-авг</w:t>
            </w:r>
            <w:proofErr w:type="spellEnd"/>
            <w:r w:rsidRPr="00A17FBF">
              <w:rPr>
                <w:rFonts w:ascii="Arial" w:hAnsi="Arial" w:cs="Arial"/>
                <w:b/>
                <w:sz w:val="16"/>
                <w:szCs w:val="16"/>
              </w:rPr>
              <w:t xml:space="preserve"> 2016г.</w:t>
            </w:r>
          </w:p>
        </w:tc>
      </w:tr>
      <w:tr w:rsidR="00A17FBF" w:rsidRPr="003C3A8E" w:rsidTr="001C6768">
        <w:trPr>
          <w:trHeight w:val="230"/>
          <w:jc w:val="center"/>
        </w:trPr>
        <w:tc>
          <w:tcPr>
            <w:tcW w:w="8631" w:type="dxa"/>
            <w:vMerge/>
            <w:vAlign w:val="center"/>
            <w:hideMark/>
          </w:tcPr>
          <w:p w:rsidR="00A17FBF" w:rsidRPr="003C3A8E" w:rsidRDefault="00A17FBF" w:rsidP="003C3A8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A17FBF" w:rsidRPr="003C3A8E" w:rsidRDefault="00A17FBF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7FBF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A17FBF" w:rsidRPr="003C3A8E" w:rsidRDefault="00A17FBF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FBF">
              <w:rPr>
                <w:rFonts w:ascii="Arial" w:hAnsi="Arial" w:cs="Arial"/>
                <w:sz w:val="20"/>
                <w:szCs w:val="20"/>
              </w:rPr>
              <w:t>производство пищевых продуктов</w:t>
            </w:r>
            <w:r w:rsidR="006B32B8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="006B32B8">
              <w:rPr>
                <w:rFonts w:ascii="Arial" w:hAnsi="Arial" w:cs="Arial"/>
                <w:sz w:val="20"/>
                <w:szCs w:val="20"/>
              </w:rPr>
              <w:t>т.ч</w:t>
            </w:r>
            <w:proofErr w:type="spellEnd"/>
            <w:r w:rsidR="006B32B8"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1418" w:type="dxa"/>
            <w:vAlign w:val="center"/>
            <w:hideMark/>
          </w:tcPr>
          <w:p w:rsidR="00A17FBF" w:rsidRPr="00902E4D" w:rsidRDefault="00A17FBF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17FBF"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104,8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крупного рогатого скота, свинина, баранина,  козлятина, конина и мясо прочих животных  семейства лошадиных, оленина и мясо прочих </w:t>
            </w: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животных семейства оленьих (оленевых) парные, остывшие или охлаждённые, 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106,7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Мясо и субпродукты пищевые домашней птицы,  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103,5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 колбасные, включая  изделия колбасные для детского питания, 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109,5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Полуфабрикаты мясные, мясосодержащие, охлаждённые, замороженные, 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106,6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Рыба переработанная и консервированная, ракообразные и моллюски, 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103,7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Картофель переработанный и консервированный, тыс.тонн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103,2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Масло подсолнечное и его фракции нерафинированные, 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118,9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</w:tcPr>
          <w:p w:rsidR="006B32B8" w:rsidRPr="00D04A24" w:rsidRDefault="006B32B8" w:rsidP="00D04A24">
            <w:pPr>
              <w:pStyle w:val="a3"/>
              <w:numPr>
                <w:ilvl w:val="0"/>
                <w:numId w:val="8"/>
              </w:numPr>
              <w:ind w:left="523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04A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Молоко, кроме сырого, млн.тонн</w:t>
            </w:r>
          </w:p>
        </w:tc>
        <w:tc>
          <w:tcPr>
            <w:tcW w:w="1418" w:type="dxa"/>
            <w:vAlign w:val="center"/>
          </w:tcPr>
          <w:p w:rsidR="006B32B8" w:rsidRPr="00B30D36" w:rsidRDefault="006B32B8" w:rsidP="001C6768">
            <w:pPr>
              <w:ind w:left="-70" w:right="-46" w:firstLine="108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99,1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FBF">
              <w:rPr>
                <w:rFonts w:ascii="Arial" w:hAnsi="Arial" w:cs="Arial"/>
                <w:sz w:val="20"/>
                <w:szCs w:val="20"/>
              </w:rPr>
              <w:t>производство текстильных изделий</w:t>
            </w:r>
          </w:p>
        </w:tc>
        <w:tc>
          <w:tcPr>
            <w:tcW w:w="1418" w:type="dxa"/>
            <w:vAlign w:val="center"/>
            <w:hideMark/>
          </w:tcPr>
          <w:p w:rsidR="006B32B8" w:rsidRPr="003C3A8E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108,3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FBF">
              <w:rPr>
                <w:rFonts w:ascii="Arial" w:hAnsi="Arial" w:cs="Arial"/>
                <w:sz w:val="20"/>
                <w:szCs w:val="20"/>
              </w:rPr>
              <w:t>производство одежды</w:t>
            </w:r>
          </w:p>
        </w:tc>
        <w:tc>
          <w:tcPr>
            <w:tcW w:w="1418" w:type="dxa"/>
            <w:vAlign w:val="center"/>
            <w:hideMark/>
          </w:tcPr>
          <w:p w:rsidR="006B32B8" w:rsidRPr="003C3A8E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7FBF">
              <w:rPr>
                <w:rFonts w:ascii="Arial" w:hAnsi="Arial" w:cs="Arial"/>
                <w:b/>
                <w:color w:val="00B050"/>
                <w:sz w:val="20"/>
                <w:szCs w:val="20"/>
              </w:rPr>
              <w:t>103,4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FBF">
              <w:rPr>
                <w:rFonts w:ascii="Arial" w:hAnsi="Arial" w:cs="Arial"/>
                <w:sz w:val="20"/>
                <w:szCs w:val="20"/>
              </w:rPr>
              <w:t>производство химических веществ и химических продуктов</w:t>
            </w:r>
          </w:p>
        </w:tc>
        <w:tc>
          <w:tcPr>
            <w:tcW w:w="1418" w:type="dxa"/>
            <w:vAlign w:val="center"/>
            <w:hideMark/>
          </w:tcPr>
          <w:p w:rsidR="006B32B8" w:rsidRPr="003C3A8E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105,3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6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FBF">
              <w:rPr>
                <w:rFonts w:ascii="Arial" w:hAnsi="Arial" w:cs="Arial"/>
                <w:sz w:val="20"/>
                <w:szCs w:val="20"/>
              </w:rPr>
              <w:t>производство лекарственных средств и материалов,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17FBF">
              <w:rPr>
                <w:rFonts w:ascii="Arial" w:hAnsi="Arial" w:cs="Arial"/>
                <w:sz w:val="20"/>
                <w:szCs w:val="20"/>
              </w:rPr>
              <w:t>применяемых в медицинских целях</w:t>
            </w:r>
          </w:p>
        </w:tc>
        <w:tc>
          <w:tcPr>
            <w:tcW w:w="1418" w:type="dxa"/>
            <w:vAlign w:val="center"/>
            <w:hideMark/>
          </w:tcPr>
          <w:p w:rsidR="006B32B8" w:rsidRPr="003C3A8E" w:rsidRDefault="006B32B8" w:rsidP="001C6768">
            <w:pPr>
              <w:widowControl w:val="0"/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112,9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17FBF">
              <w:rPr>
                <w:rFonts w:ascii="Arial" w:hAnsi="Arial" w:cs="Arial"/>
                <w:sz w:val="20"/>
                <w:szCs w:val="20"/>
              </w:rPr>
              <w:t>производство электрического оборудования</w:t>
            </w:r>
          </w:p>
        </w:tc>
        <w:tc>
          <w:tcPr>
            <w:tcW w:w="1418" w:type="dxa"/>
            <w:vAlign w:val="center"/>
            <w:hideMark/>
          </w:tcPr>
          <w:p w:rsidR="006B32B8" w:rsidRPr="003C3A8E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F73">
              <w:rPr>
                <w:rFonts w:ascii="Arial" w:hAnsi="Arial" w:cs="Arial"/>
                <w:b/>
                <w:color w:val="00B050"/>
                <w:sz w:val="20"/>
                <w:szCs w:val="20"/>
              </w:rPr>
              <w:t>105,6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35F73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оизводство машин и оборудования</w:t>
            </w:r>
          </w:p>
        </w:tc>
        <w:tc>
          <w:tcPr>
            <w:tcW w:w="1418" w:type="dxa"/>
            <w:vAlign w:val="center"/>
            <w:hideMark/>
          </w:tcPr>
          <w:p w:rsidR="006B32B8" w:rsidRPr="00D35F73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5F73">
              <w:rPr>
                <w:rFonts w:ascii="Arial" w:hAnsi="Arial" w:cs="Arial"/>
                <w:b/>
                <w:color w:val="00B050"/>
                <w:sz w:val="20"/>
                <w:szCs w:val="20"/>
                <w:lang w:val="en-US"/>
              </w:rPr>
              <w:t>10</w:t>
            </w:r>
            <w:r w:rsidRPr="00D35F73">
              <w:rPr>
                <w:rFonts w:ascii="Arial" w:hAnsi="Arial" w:cs="Arial"/>
                <w:b/>
                <w:color w:val="00B050"/>
                <w:sz w:val="20"/>
                <w:szCs w:val="20"/>
              </w:rPr>
              <w:t>1</w:t>
            </w:r>
            <w:r w:rsidRPr="00D35F73">
              <w:rPr>
                <w:rFonts w:ascii="Arial" w:hAnsi="Arial" w:cs="Arial"/>
                <w:b/>
                <w:color w:val="00B050"/>
                <w:sz w:val="20"/>
                <w:szCs w:val="20"/>
                <w:lang w:val="en-US"/>
              </w:rPr>
              <w:t>,</w:t>
            </w:r>
            <w:r w:rsidRPr="00D35F73">
              <w:rPr>
                <w:rFonts w:ascii="Arial" w:hAnsi="Arial" w:cs="Arial"/>
                <w:b/>
                <w:color w:val="00B050"/>
                <w:sz w:val="20"/>
                <w:szCs w:val="20"/>
              </w:rPr>
              <w:t>8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F73">
              <w:rPr>
                <w:rFonts w:ascii="Arial" w:hAnsi="Arial" w:cs="Arial"/>
                <w:sz w:val="20"/>
                <w:szCs w:val="20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1418" w:type="dxa"/>
            <w:vAlign w:val="center"/>
            <w:hideMark/>
          </w:tcPr>
          <w:p w:rsidR="006B32B8" w:rsidRPr="003C3A8E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112,0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60"/>
              <w:ind w:left="85" w:right="-113" w:hanging="8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F73">
              <w:rPr>
                <w:rFonts w:ascii="Arial" w:hAnsi="Arial" w:cs="Arial"/>
                <w:sz w:val="20"/>
                <w:szCs w:val="20"/>
              </w:rPr>
              <w:t>производство мебели</w:t>
            </w:r>
          </w:p>
        </w:tc>
        <w:tc>
          <w:tcPr>
            <w:tcW w:w="1418" w:type="dxa"/>
            <w:vAlign w:val="center"/>
            <w:hideMark/>
          </w:tcPr>
          <w:p w:rsidR="006B32B8" w:rsidRPr="00902E4D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108,5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D35F73" w:rsidRDefault="006B32B8" w:rsidP="006B32B8">
            <w:pPr>
              <w:spacing w:before="60"/>
              <w:ind w:left="85" w:right="-113" w:hanging="8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F73">
              <w:rPr>
                <w:rFonts w:ascii="Arial" w:hAnsi="Arial" w:cs="Arial"/>
                <w:sz w:val="20"/>
                <w:szCs w:val="20"/>
              </w:rPr>
              <w:t>производство готовых металлических изделий,</w:t>
            </w:r>
          </w:p>
          <w:p w:rsidR="006B32B8" w:rsidRPr="003C3A8E" w:rsidRDefault="006B32B8" w:rsidP="006B32B8">
            <w:pPr>
              <w:spacing w:before="60"/>
              <w:ind w:left="85" w:right="-113" w:hanging="85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D35F73">
              <w:rPr>
                <w:rFonts w:ascii="Arial" w:hAnsi="Arial" w:cs="Arial"/>
                <w:sz w:val="20"/>
                <w:szCs w:val="20"/>
              </w:rPr>
              <w:t>кроме машин и оборудования</w:t>
            </w:r>
          </w:p>
        </w:tc>
        <w:tc>
          <w:tcPr>
            <w:tcW w:w="1418" w:type="dxa"/>
            <w:vAlign w:val="center"/>
            <w:hideMark/>
          </w:tcPr>
          <w:p w:rsidR="006B32B8" w:rsidRPr="00902E4D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D35F73">
              <w:rPr>
                <w:rFonts w:ascii="Arial" w:hAnsi="Arial" w:cs="Arial"/>
                <w:b/>
                <w:color w:val="FF0000"/>
                <w:sz w:val="20"/>
                <w:szCs w:val="20"/>
              </w:rPr>
              <w:t>96,4</w:t>
            </w:r>
          </w:p>
        </w:tc>
      </w:tr>
      <w:tr w:rsidR="006B32B8" w:rsidRPr="003C3A8E" w:rsidTr="001C6768">
        <w:trPr>
          <w:jc w:val="center"/>
        </w:trPr>
        <w:tc>
          <w:tcPr>
            <w:tcW w:w="8631" w:type="dxa"/>
            <w:vAlign w:val="center"/>
            <w:hideMark/>
          </w:tcPr>
          <w:p w:rsidR="006B32B8" w:rsidRPr="003C3A8E" w:rsidRDefault="006B32B8" w:rsidP="006B32B8">
            <w:pPr>
              <w:spacing w:before="100"/>
              <w:ind w:right="-113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5F73">
              <w:rPr>
                <w:rFonts w:ascii="Arial" w:hAnsi="Arial" w:cs="Arial"/>
                <w:sz w:val="20"/>
                <w:szCs w:val="20"/>
              </w:rPr>
              <w:t>производство компьютеров, электронных и оптических изделий</w:t>
            </w:r>
          </w:p>
        </w:tc>
        <w:tc>
          <w:tcPr>
            <w:tcW w:w="1418" w:type="dxa"/>
            <w:vAlign w:val="center"/>
            <w:hideMark/>
          </w:tcPr>
          <w:p w:rsidR="006B32B8" w:rsidRPr="00902E4D" w:rsidRDefault="006B32B8" w:rsidP="001C6768">
            <w:pPr>
              <w:ind w:left="-108" w:right="-46" w:firstLine="108"/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95,2</w:t>
            </w:r>
          </w:p>
        </w:tc>
      </w:tr>
    </w:tbl>
    <w:p w:rsidR="00694278" w:rsidRPr="006B32B8" w:rsidRDefault="00F21417" w:rsidP="00F21417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 w:rsidRPr="006B32B8">
        <w:rPr>
          <w:rFonts w:ascii="Arial" w:hAnsi="Arial" w:cs="Arial"/>
          <w:bCs/>
          <w:sz w:val="20"/>
          <w:szCs w:val="20"/>
        </w:rPr>
        <w:t>Добыча важнейших видов полезных ископаемых</w:t>
      </w:r>
      <w:r w:rsidR="006B32B8">
        <w:rPr>
          <w:rFonts w:ascii="Arial" w:hAnsi="Arial" w:cs="Arial"/>
          <w:bCs/>
          <w:sz w:val="20"/>
          <w:szCs w:val="20"/>
        </w:rPr>
        <w:t>:</w:t>
      </w:r>
    </w:p>
    <w:tbl>
      <w:tblPr>
        <w:tblStyle w:val="a6"/>
        <w:tblW w:w="4519" w:type="pct"/>
        <w:jc w:val="center"/>
        <w:tblLook w:val="04A0" w:firstRow="1" w:lastRow="0" w:firstColumn="1" w:lastColumn="0" w:noHBand="0" w:noVBand="1"/>
      </w:tblPr>
      <w:tblGrid>
        <w:gridCol w:w="7252"/>
        <w:gridCol w:w="2167"/>
      </w:tblGrid>
      <w:tr w:rsidR="00F21417" w:rsidRPr="00B30D36" w:rsidTr="00D04A24">
        <w:trPr>
          <w:trHeight w:val="230"/>
          <w:jc w:val="center"/>
        </w:trPr>
        <w:tc>
          <w:tcPr>
            <w:tcW w:w="7253" w:type="dxa"/>
            <w:vMerge w:val="restart"/>
            <w:vAlign w:val="center"/>
          </w:tcPr>
          <w:p w:rsidR="00F21417" w:rsidRPr="00B30D36" w:rsidRDefault="00F21417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F21417" w:rsidRPr="00B30D36" w:rsidRDefault="00F21417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proofErr w:type="spellStart"/>
            <w:r w:rsidRPr="00A17FBF">
              <w:rPr>
                <w:rFonts w:ascii="Arial" w:hAnsi="Arial" w:cs="Arial"/>
                <w:b/>
                <w:sz w:val="16"/>
                <w:szCs w:val="16"/>
              </w:rPr>
              <w:t>Янв-авг</w:t>
            </w:r>
            <w:proofErr w:type="spellEnd"/>
            <w:r w:rsidRPr="00A17FBF">
              <w:rPr>
                <w:rFonts w:ascii="Arial" w:hAnsi="Arial" w:cs="Arial"/>
                <w:b/>
                <w:sz w:val="16"/>
                <w:szCs w:val="16"/>
              </w:rPr>
              <w:t xml:space="preserve"> 2017г.</w:t>
            </w:r>
            <w:r w:rsidRPr="00A17FBF">
              <w:rPr>
                <w:rFonts w:ascii="Arial" w:hAnsi="Arial" w:cs="Arial"/>
                <w:b/>
                <w:sz w:val="16"/>
                <w:szCs w:val="16"/>
              </w:rPr>
              <w:br/>
              <w:t xml:space="preserve">в % к </w:t>
            </w:r>
            <w:proofErr w:type="spellStart"/>
            <w:r w:rsidRPr="00A17FBF">
              <w:rPr>
                <w:rFonts w:ascii="Arial" w:hAnsi="Arial" w:cs="Arial"/>
                <w:b/>
                <w:sz w:val="16"/>
                <w:szCs w:val="16"/>
              </w:rPr>
              <w:t>янв-авг</w:t>
            </w:r>
            <w:proofErr w:type="spellEnd"/>
            <w:r w:rsidRPr="00A17FBF">
              <w:rPr>
                <w:rFonts w:ascii="Arial" w:hAnsi="Arial" w:cs="Arial"/>
                <w:b/>
                <w:sz w:val="16"/>
                <w:szCs w:val="16"/>
              </w:rPr>
              <w:t xml:space="preserve"> 2016г.</w:t>
            </w:r>
          </w:p>
        </w:tc>
      </w:tr>
      <w:tr w:rsidR="00F21417" w:rsidRPr="00B30D36" w:rsidTr="00D04A24">
        <w:trPr>
          <w:trHeight w:val="230"/>
          <w:jc w:val="center"/>
        </w:trPr>
        <w:tc>
          <w:tcPr>
            <w:tcW w:w="7253" w:type="dxa"/>
            <w:vMerge/>
            <w:vAlign w:val="center"/>
          </w:tcPr>
          <w:p w:rsidR="00F21417" w:rsidRPr="00B30D36" w:rsidRDefault="00F21417" w:rsidP="0050744A">
            <w:pPr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67" w:type="dxa"/>
            <w:vMerge/>
            <w:vAlign w:val="center"/>
          </w:tcPr>
          <w:p w:rsidR="00F21417" w:rsidRPr="00B30D36" w:rsidRDefault="00F21417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ru-RU"/>
              </w:rPr>
            </w:pPr>
          </w:p>
        </w:tc>
      </w:tr>
      <w:tr w:rsidR="00F21417" w:rsidRPr="00B30D36" w:rsidTr="00D04A24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F21417" w:rsidRPr="00B30D36" w:rsidRDefault="00F21417" w:rsidP="00D04A24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Уголь, млн. тонн</w:t>
            </w:r>
          </w:p>
        </w:tc>
        <w:tc>
          <w:tcPr>
            <w:tcW w:w="2167" w:type="dxa"/>
            <w:vAlign w:val="center"/>
            <w:hideMark/>
          </w:tcPr>
          <w:p w:rsidR="00F21417" w:rsidRPr="00B30D36" w:rsidRDefault="00F21417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107,0</w:t>
            </w:r>
          </w:p>
        </w:tc>
      </w:tr>
      <w:tr w:rsidR="00F21417" w:rsidRPr="00B30D36" w:rsidTr="00D04A24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F21417" w:rsidRPr="00B30D36" w:rsidRDefault="00F21417" w:rsidP="00D04A24">
            <w:pPr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Нефть сырая, включая газовый  конденсат,  млн.тонн</w:t>
            </w:r>
          </w:p>
        </w:tc>
        <w:tc>
          <w:tcPr>
            <w:tcW w:w="2167" w:type="dxa"/>
            <w:vAlign w:val="center"/>
            <w:hideMark/>
          </w:tcPr>
          <w:p w:rsidR="00F21417" w:rsidRPr="00B30D36" w:rsidRDefault="00F21417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B32B8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100,8</w:t>
            </w:r>
          </w:p>
        </w:tc>
      </w:tr>
      <w:tr w:rsidR="00F21417" w:rsidRPr="00B30D36" w:rsidTr="00D04A24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F21417" w:rsidRPr="00B30D36" w:rsidRDefault="00F21417" w:rsidP="00D04A24">
            <w:pPr>
              <w:spacing w:after="12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Газ горючий природный (газ естественный),  млрд.м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67" w:type="dxa"/>
            <w:vAlign w:val="center"/>
            <w:hideMark/>
          </w:tcPr>
          <w:p w:rsidR="00F21417" w:rsidRPr="00B30D36" w:rsidRDefault="006B32B8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114,1</w:t>
            </w:r>
          </w:p>
        </w:tc>
      </w:tr>
      <w:tr w:rsidR="006B32B8" w:rsidRPr="00B30D36" w:rsidTr="00D04A24">
        <w:trPr>
          <w:trHeight w:val="20"/>
          <w:jc w:val="center"/>
        </w:trPr>
        <w:tc>
          <w:tcPr>
            <w:tcW w:w="7253" w:type="dxa"/>
            <w:vAlign w:val="center"/>
          </w:tcPr>
          <w:p w:rsidR="006B32B8" w:rsidRPr="00B30D36" w:rsidRDefault="006B32B8" w:rsidP="00D04A24">
            <w:pPr>
              <w:spacing w:after="12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B32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Концентрат железорудный, млн.тонн</w:t>
            </w:r>
          </w:p>
        </w:tc>
        <w:tc>
          <w:tcPr>
            <w:tcW w:w="2167" w:type="dxa"/>
            <w:vAlign w:val="center"/>
          </w:tcPr>
          <w:p w:rsidR="006B32B8" w:rsidRPr="00B30D36" w:rsidRDefault="006B32B8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B32B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ru-RU"/>
              </w:rPr>
              <w:t>94,2</w:t>
            </w:r>
          </w:p>
        </w:tc>
      </w:tr>
      <w:tr w:rsidR="00F21417" w:rsidRPr="00B30D36" w:rsidTr="00D04A24">
        <w:trPr>
          <w:trHeight w:val="20"/>
          <w:jc w:val="center"/>
        </w:trPr>
        <w:tc>
          <w:tcPr>
            <w:tcW w:w="7253" w:type="dxa"/>
            <w:vAlign w:val="center"/>
            <w:hideMark/>
          </w:tcPr>
          <w:p w:rsidR="00F21417" w:rsidRPr="00B30D36" w:rsidRDefault="00F21417" w:rsidP="00D04A24">
            <w:pPr>
              <w:spacing w:after="120"/>
              <w:contextualSpacing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30D3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Пески природные, млн.м</w:t>
            </w:r>
            <w:r w:rsidRPr="00B30D3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2167" w:type="dxa"/>
            <w:vAlign w:val="center"/>
            <w:hideMark/>
          </w:tcPr>
          <w:p w:rsidR="00F21417" w:rsidRPr="00B30D36" w:rsidRDefault="006B32B8" w:rsidP="0050744A">
            <w:pPr>
              <w:ind w:left="-70" w:right="-112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6B32B8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108,5</w:t>
            </w:r>
          </w:p>
        </w:tc>
      </w:tr>
    </w:tbl>
    <w:p w:rsidR="00A0543E" w:rsidRDefault="00A0543E" w:rsidP="00A054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A0609A" w:rsidRDefault="00860C75" w:rsidP="00705D49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>о 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</w:t>
      </w:r>
      <w:r w:rsidR="00791AA9">
        <w:rPr>
          <w:rFonts w:ascii="Arial" w:hAnsi="Arial" w:cs="Arial"/>
          <w:sz w:val="20"/>
          <w:szCs w:val="20"/>
        </w:rPr>
        <w:t xml:space="preserve"> 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>. Особенно радует рост производства станков, автомобилей,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пластмасс, удобрений, </w:t>
      </w:r>
      <w:r>
        <w:rPr>
          <w:rFonts w:ascii="Arial" w:hAnsi="Arial" w:cs="Arial"/>
          <w:sz w:val="20"/>
          <w:szCs w:val="20"/>
        </w:rPr>
        <w:t>электрооборудования</w:t>
      </w:r>
      <w:r w:rsidR="00791AA9">
        <w:rPr>
          <w:rFonts w:ascii="Arial" w:hAnsi="Arial" w:cs="Arial"/>
          <w:sz w:val="20"/>
          <w:szCs w:val="20"/>
        </w:rPr>
        <w:t>.</w:t>
      </w:r>
      <w:r w:rsidR="00705D49">
        <w:rPr>
          <w:rFonts w:ascii="Arial" w:hAnsi="Arial" w:cs="Arial"/>
          <w:sz w:val="20"/>
          <w:szCs w:val="20"/>
        </w:rPr>
        <w:t xml:space="preserve"> </w:t>
      </w:r>
    </w:p>
    <w:p w:rsidR="00461E59" w:rsidRDefault="00705D49" w:rsidP="00705D49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 </w:t>
      </w:r>
      <w:r w:rsidR="00A0609A">
        <w:rPr>
          <w:rFonts w:ascii="Arial" w:hAnsi="Arial" w:cs="Arial"/>
          <w:sz w:val="20"/>
          <w:szCs w:val="20"/>
        </w:rPr>
        <w:t xml:space="preserve">экономически </w:t>
      </w:r>
      <w:r>
        <w:rPr>
          <w:rFonts w:ascii="Arial" w:hAnsi="Arial" w:cs="Arial"/>
          <w:sz w:val="20"/>
          <w:szCs w:val="20"/>
        </w:rPr>
        <w:t xml:space="preserve">закономерное отставание динамики доходов от </w:t>
      </w:r>
      <w:r w:rsidR="003221F6">
        <w:rPr>
          <w:rFonts w:ascii="Arial" w:hAnsi="Arial" w:cs="Arial"/>
          <w:sz w:val="20"/>
          <w:szCs w:val="20"/>
        </w:rPr>
        <w:t>динамики</w:t>
      </w:r>
      <w:r>
        <w:rPr>
          <w:rFonts w:ascii="Arial" w:hAnsi="Arial" w:cs="Arial"/>
          <w:sz w:val="20"/>
          <w:szCs w:val="20"/>
        </w:rPr>
        <w:t xml:space="preserve"> производства в </w:t>
      </w:r>
      <w:r w:rsidR="00823DFC">
        <w:rPr>
          <w:rFonts w:ascii="Arial" w:hAnsi="Arial" w:cs="Arial"/>
          <w:sz w:val="20"/>
          <w:szCs w:val="20"/>
        </w:rPr>
        <w:t>дальнейшем, следом</w:t>
      </w:r>
      <w:r w:rsidR="003221F6">
        <w:rPr>
          <w:rFonts w:ascii="Arial" w:hAnsi="Arial" w:cs="Arial"/>
          <w:sz w:val="20"/>
          <w:szCs w:val="20"/>
        </w:rPr>
        <w:t xml:space="preserve"> за общеэкономическим ростом</w:t>
      </w:r>
      <w:r w:rsidR="00823DF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ожидается и рост доходов</w:t>
      </w:r>
      <w:r w:rsidR="003221F6">
        <w:rPr>
          <w:rFonts w:ascii="Arial" w:hAnsi="Arial" w:cs="Arial"/>
          <w:sz w:val="20"/>
          <w:szCs w:val="20"/>
        </w:rPr>
        <w:t xml:space="preserve"> сначала бизнеса, затем – доходов населения</w:t>
      </w:r>
      <w:r>
        <w:rPr>
          <w:rFonts w:ascii="Arial" w:hAnsi="Arial" w:cs="Arial"/>
          <w:sz w:val="20"/>
          <w:szCs w:val="20"/>
        </w:rPr>
        <w:t>.</w:t>
      </w:r>
    </w:p>
    <w:p w:rsidR="00B22D1C" w:rsidRDefault="006D2E14" w:rsidP="006833CB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Pr="000C5DE8">
        <w:rPr>
          <w:rFonts w:ascii="Arial" w:hAnsi="Arial" w:cs="Arial"/>
          <w:sz w:val="20"/>
          <w:szCs w:val="20"/>
        </w:rPr>
        <w:t xml:space="preserve"> </w:t>
      </w:r>
      <w:r w:rsidR="00B22D1C">
        <w:rPr>
          <w:rFonts w:ascii="Arial" w:hAnsi="Arial" w:cs="Arial"/>
          <w:sz w:val="20"/>
          <w:szCs w:val="20"/>
        </w:rPr>
        <w:t xml:space="preserve">объём СМР </w:t>
      </w:r>
      <w:r w:rsidR="006833CB" w:rsidRPr="006833CB">
        <w:rPr>
          <w:rFonts w:ascii="Arial" w:hAnsi="Arial" w:cs="Arial"/>
          <w:sz w:val="20"/>
          <w:szCs w:val="20"/>
        </w:rPr>
        <w:t>в августе 2017г. составил 656,3 млрд.</w:t>
      </w:r>
      <w:r w:rsidR="006833CB">
        <w:rPr>
          <w:rFonts w:ascii="Arial" w:hAnsi="Arial" w:cs="Arial"/>
          <w:sz w:val="20"/>
          <w:szCs w:val="20"/>
        </w:rPr>
        <w:t xml:space="preserve"> </w:t>
      </w:r>
      <w:r w:rsidR="006833CB" w:rsidRPr="006833CB">
        <w:rPr>
          <w:rFonts w:ascii="Arial" w:hAnsi="Arial" w:cs="Arial"/>
          <w:sz w:val="20"/>
          <w:szCs w:val="20"/>
        </w:rPr>
        <w:t>рублей, ил</w:t>
      </w:r>
      <w:r w:rsidR="006833CB">
        <w:rPr>
          <w:rFonts w:ascii="Arial" w:hAnsi="Arial" w:cs="Arial"/>
          <w:sz w:val="20"/>
          <w:szCs w:val="20"/>
        </w:rPr>
        <w:t xml:space="preserve">и 106,1% (в сопоставимых ценах) </w:t>
      </w:r>
      <w:r w:rsidR="006833CB" w:rsidRPr="006833CB">
        <w:rPr>
          <w:rFonts w:ascii="Arial" w:hAnsi="Arial" w:cs="Arial"/>
          <w:sz w:val="20"/>
          <w:szCs w:val="20"/>
        </w:rPr>
        <w:t>к уровню соответствующего периода предыдущего года, в январе-августе 2017г. - 3742,4 млрд.</w:t>
      </w:r>
      <w:r w:rsidR="006833CB">
        <w:rPr>
          <w:rFonts w:ascii="Arial" w:hAnsi="Arial" w:cs="Arial"/>
          <w:sz w:val="20"/>
          <w:szCs w:val="20"/>
        </w:rPr>
        <w:t xml:space="preserve"> </w:t>
      </w:r>
      <w:r w:rsidR="006833CB" w:rsidRPr="006833CB">
        <w:rPr>
          <w:rFonts w:ascii="Arial" w:hAnsi="Arial" w:cs="Arial"/>
          <w:sz w:val="20"/>
          <w:szCs w:val="20"/>
        </w:rPr>
        <w:t>рублей</w:t>
      </w:r>
      <w:r w:rsidR="006833CB">
        <w:rPr>
          <w:rFonts w:ascii="Arial" w:hAnsi="Arial" w:cs="Arial"/>
          <w:sz w:val="20"/>
          <w:szCs w:val="20"/>
        </w:rPr>
        <w:t xml:space="preserve"> (</w:t>
      </w:r>
      <w:r w:rsidR="006833CB" w:rsidRPr="006833CB">
        <w:rPr>
          <w:rFonts w:ascii="Arial" w:hAnsi="Arial" w:cs="Arial"/>
          <w:sz w:val="20"/>
          <w:szCs w:val="20"/>
        </w:rPr>
        <w:t>100,4%</w:t>
      </w:r>
      <w:r w:rsidR="006833CB">
        <w:rPr>
          <w:rFonts w:ascii="Arial" w:hAnsi="Arial" w:cs="Arial"/>
          <w:sz w:val="20"/>
          <w:szCs w:val="20"/>
        </w:rPr>
        <w:t>)</w:t>
      </w:r>
      <w:r w:rsidR="006833CB" w:rsidRPr="006833CB">
        <w:rPr>
          <w:rFonts w:ascii="Arial" w:hAnsi="Arial" w:cs="Arial"/>
          <w:sz w:val="20"/>
          <w:szCs w:val="20"/>
        </w:rPr>
        <w:t>.</w:t>
      </w:r>
      <w:r w:rsidR="006833CB">
        <w:rPr>
          <w:rFonts w:ascii="Arial" w:hAnsi="Arial" w:cs="Arial"/>
          <w:sz w:val="20"/>
          <w:szCs w:val="20"/>
        </w:rPr>
        <w:t xml:space="preserve"> </w:t>
      </w:r>
      <w:r w:rsidR="006833CB" w:rsidRPr="006833CB">
        <w:rPr>
          <w:rFonts w:ascii="Arial" w:hAnsi="Arial" w:cs="Arial"/>
          <w:sz w:val="20"/>
          <w:szCs w:val="20"/>
        </w:rPr>
        <w:t>В августе 2017г. постр</w:t>
      </w:r>
      <w:r w:rsidR="006833CB">
        <w:rPr>
          <w:rFonts w:ascii="Arial" w:hAnsi="Arial" w:cs="Arial"/>
          <w:sz w:val="20"/>
          <w:szCs w:val="20"/>
        </w:rPr>
        <w:t xml:space="preserve">оено 95,9 тыс. новых квартир, в </w:t>
      </w:r>
      <w:r w:rsidR="006833CB" w:rsidRPr="006833CB">
        <w:rPr>
          <w:rFonts w:ascii="Arial" w:hAnsi="Arial" w:cs="Arial"/>
          <w:sz w:val="20"/>
          <w:szCs w:val="20"/>
        </w:rPr>
        <w:t>январе-августе 2017г. - 581,7 тыс. новых квартир.</w:t>
      </w:r>
    </w:p>
    <w:p w:rsidR="0092005A" w:rsidRPr="005D6259" w:rsidRDefault="00741994" w:rsidP="00F83B44">
      <w:pPr>
        <w:spacing w:after="0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Arial" w:hAnsi="Arial" w:cs="Arial"/>
          <w:b/>
          <w:sz w:val="20"/>
          <w:szCs w:val="20"/>
        </w:rPr>
        <w:lastRenderedPageBreak/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</w:t>
      </w:r>
      <w:r w:rsidR="002B6E1E" w:rsidRPr="004D2D2E">
        <w:rPr>
          <w:rFonts w:ascii="Arial" w:hAnsi="Arial" w:cs="Arial"/>
          <w:sz w:val="20"/>
          <w:szCs w:val="20"/>
        </w:rPr>
        <w:t xml:space="preserve">на </w:t>
      </w:r>
      <w:r w:rsidR="002B6E1E">
        <w:rPr>
          <w:rFonts w:ascii="Arial" w:hAnsi="Arial" w:cs="Arial"/>
          <w:sz w:val="20"/>
          <w:szCs w:val="20"/>
        </w:rPr>
        <w:t>0</w:t>
      </w:r>
      <w:r w:rsidR="002B6E1E" w:rsidRPr="004D2D2E">
        <w:rPr>
          <w:rFonts w:ascii="Arial" w:hAnsi="Arial" w:cs="Arial"/>
          <w:sz w:val="20"/>
          <w:szCs w:val="20"/>
        </w:rPr>
        <w:t>1</w:t>
      </w:r>
      <w:r w:rsidR="008E4176">
        <w:rPr>
          <w:rFonts w:ascii="Arial" w:hAnsi="Arial" w:cs="Arial"/>
          <w:sz w:val="20"/>
          <w:szCs w:val="20"/>
        </w:rPr>
        <w:t>.07</w:t>
      </w:r>
      <w:r w:rsidR="002B6E1E">
        <w:rPr>
          <w:rFonts w:ascii="Arial" w:hAnsi="Arial" w:cs="Arial"/>
          <w:sz w:val="20"/>
          <w:szCs w:val="20"/>
        </w:rPr>
        <w:t>.</w:t>
      </w:r>
      <w:r w:rsidR="002B6E1E" w:rsidRPr="004D2D2E">
        <w:rPr>
          <w:rFonts w:ascii="Arial" w:hAnsi="Arial" w:cs="Arial"/>
          <w:sz w:val="20"/>
          <w:szCs w:val="20"/>
        </w:rPr>
        <w:t>2017 го</w:t>
      </w:r>
      <w:r w:rsidR="002B6E1E">
        <w:rPr>
          <w:rFonts w:ascii="Arial" w:hAnsi="Arial" w:cs="Arial"/>
          <w:sz w:val="20"/>
          <w:szCs w:val="20"/>
        </w:rPr>
        <w:t xml:space="preserve">да </w:t>
      </w:r>
      <w:r w:rsidR="005D6259">
        <w:rPr>
          <w:rFonts w:ascii="Arial" w:hAnsi="Arial" w:cs="Arial"/>
          <w:sz w:val="20"/>
          <w:szCs w:val="20"/>
        </w:rPr>
        <w:t xml:space="preserve">составил: </w:t>
      </w:r>
      <w:r w:rsidR="00943DC7">
        <w:rPr>
          <w:rFonts w:ascii="Arial" w:hAnsi="Arial" w:cs="Arial"/>
          <w:sz w:val="20"/>
          <w:szCs w:val="20"/>
        </w:rPr>
        <w:t>организациям</w:t>
      </w:r>
      <w:r w:rsidR="00F9449D">
        <w:rPr>
          <w:rFonts w:ascii="Arial" w:hAnsi="Arial" w:cs="Arial"/>
          <w:sz w:val="20"/>
          <w:szCs w:val="20"/>
        </w:rPr>
        <w:t xml:space="preserve">   - </w:t>
      </w:r>
      <w:r w:rsidR="008E4176">
        <w:rPr>
          <w:rFonts w:ascii="Arial" w:hAnsi="Arial" w:cs="Arial"/>
          <w:sz w:val="20"/>
          <w:szCs w:val="20"/>
        </w:rPr>
        <w:t xml:space="preserve"> </w:t>
      </w:r>
      <w:r w:rsidR="008E4176" w:rsidRPr="008E4176">
        <w:rPr>
          <w:rFonts w:ascii="Arial" w:hAnsi="Arial" w:cs="Arial"/>
          <w:sz w:val="20"/>
          <w:szCs w:val="20"/>
        </w:rPr>
        <w:t>22</w:t>
      </w:r>
      <w:r w:rsidR="008E4176">
        <w:rPr>
          <w:rFonts w:ascii="Arial" w:hAnsi="Arial" w:cs="Arial"/>
          <w:sz w:val="20"/>
          <w:szCs w:val="20"/>
        </w:rPr>
        <w:t xml:space="preserve">,64 </w:t>
      </w:r>
      <w:r w:rsidR="00401643">
        <w:rPr>
          <w:rFonts w:ascii="Arial" w:hAnsi="Arial" w:cs="Arial"/>
          <w:sz w:val="20"/>
          <w:szCs w:val="20"/>
        </w:rPr>
        <w:t>т</w:t>
      </w:r>
      <w:r w:rsidR="00C9696B">
        <w:rPr>
          <w:rFonts w:ascii="Arial" w:hAnsi="Arial" w:cs="Arial"/>
          <w:sz w:val="20"/>
          <w:szCs w:val="20"/>
        </w:rPr>
        <w:t>р</w:t>
      </w:r>
      <w:r w:rsidR="00401643">
        <w:rPr>
          <w:rFonts w:ascii="Arial" w:hAnsi="Arial" w:cs="Arial"/>
          <w:sz w:val="20"/>
          <w:szCs w:val="20"/>
        </w:rPr>
        <w:t>лн</w:t>
      </w:r>
      <w:r w:rsidR="00943DC7">
        <w:rPr>
          <w:rFonts w:ascii="Arial" w:hAnsi="Arial" w:cs="Arial"/>
          <w:sz w:val="20"/>
          <w:szCs w:val="20"/>
        </w:rPr>
        <w:t xml:space="preserve">. </w:t>
      </w:r>
      <w:r w:rsidR="00401643">
        <w:rPr>
          <w:rFonts w:ascii="Arial" w:hAnsi="Arial" w:cs="Arial"/>
          <w:sz w:val="20"/>
          <w:szCs w:val="20"/>
        </w:rPr>
        <w:t>р</w:t>
      </w:r>
      <w:r w:rsidR="00943DC7">
        <w:rPr>
          <w:rFonts w:ascii="Arial" w:hAnsi="Arial" w:cs="Arial"/>
          <w:sz w:val="20"/>
          <w:szCs w:val="20"/>
        </w:rPr>
        <w:t>уб</w:t>
      </w:r>
      <w:r w:rsidR="00401643">
        <w:rPr>
          <w:rFonts w:ascii="Arial" w:hAnsi="Arial" w:cs="Arial"/>
          <w:sz w:val="20"/>
          <w:szCs w:val="20"/>
        </w:rPr>
        <w:t>.</w:t>
      </w:r>
      <w:r w:rsidR="00943DC7">
        <w:rPr>
          <w:rFonts w:ascii="Arial" w:hAnsi="Arial" w:cs="Arial"/>
          <w:sz w:val="20"/>
          <w:szCs w:val="20"/>
        </w:rPr>
        <w:t xml:space="preserve"> (</w:t>
      </w:r>
      <w:r w:rsidR="008E4176">
        <w:rPr>
          <w:rFonts w:ascii="Calibri" w:eastAsia="Times New Roman" w:hAnsi="Calibri" w:cs="Calibri"/>
          <w:color w:val="000000"/>
          <w:lang w:eastAsia="ru-RU"/>
        </w:rPr>
        <w:t>+3,</w:t>
      </w:r>
      <w:r w:rsidR="005D6259">
        <w:rPr>
          <w:rFonts w:ascii="Calibri" w:eastAsia="Times New Roman" w:hAnsi="Calibri" w:cs="Calibri"/>
          <w:color w:val="000000"/>
          <w:lang w:eastAsia="ru-RU"/>
        </w:rPr>
        <w:t>8</w:t>
      </w:r>
      <w:r w:rsidR="004D2D2E" w:rsidRPr="004D2D2E">
        <w:rPr>
          <w:rFonts w:ascii="Arial" w:hAnsi="Arial" w:cs="Arial"/>
          <w:sz w:val="20"/>
          <w:szCs w:val="20"/>
        </w:rPr>
        <w:t>%</w:t>
      </w:r>
      <w:r w:rsidR="00F83B44">
        <w:rPr>
          <w:rFonts w:ascii="Arial" w:hAnsi="Arial" w:cs="Arial"/>
          <w:sz w:val="20"/>
          <w:szCs w:val="20"/>
        </w:rPr>
        <w:t xml:space="preserve"> по сравнению с 01.07.2016</w:t>
      </w:r>
      <w:r w:rsidR="004D2D2E" w:rsidRPr="004D2D2E">
        <w:rPr>
          <w:rFonts w:ascii="Arial" w:hAnsi="Arial" w:cs="Arial"/>
          <w:sz w:val="20"/>
          <w:szCs w:val="20"/>
        </w:rPr>
        <w:t>)</w:t>
      </w:r>
      <w:r w:rsidR="004D2D2E">
        <w:rPr>
          <w:rFonts w:ascii="Arial" w:hAnsi="Arial" w:cs="Arial"/>
          <w:sz w:val="20"/>
          <w:szCs w:val="20"/>
        </w:rPr>
        <w:t>, физическим лицам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8E4176">
        <w:rPr>
          <w:rFonts w:ascii="Arial" w:hAnsi="Arial" w:cs="Arial"/>
          <w:sz w:val="20"/>
          <w:szCs w:val="20"/>
        </w:rPr>
        <w:t>-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F037D7" w:rsidRPr="00F037D7">
        <w:rPr>
          <w:rFonts w:ascii="Arial" w:hAnsi="Arial" w:cs="Arial"/>
          <w:sz w:val="20"/>
          <w:szCs w:val="20"/>
        </w:rPr>
        <w:t>11</w:t>
      </w:r>
      <w:r w:rsidR="00F037D7">
        <w:rPr>
          <w:rFonts w:ascii="Arial" w:hAnsi="Arial" w:cs="Arial"/>
          <w:sz w:val="20"/>
          <w:szCs w:val="20"/>
        </w:rPr>
        <w:t>,0</w:t>
      </w:r>
      <w:r w:rsidR="008E4176">
        <w:rPr>
          <w:rFonts w:ascii="Arial" w:hAnsi="Arial" w:cs="Arial"/>
          <w:sz w:val="20"/>
          <w:szCs w:val="20"/>
        </w:rPr>
        <w:t>5</w:t>
      </w:r>
      <w:r w:rsidR="00F037D7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трлн</w:t>
      </w:r>
      <w:r w:rsidR="00943DC7">
        <w:rPr>
          <w:rFonts w:ascii="Arial" w:hAnsi="Arial" w:cs="Arial"/>
          <w:sz w:val="20"/>
          <w:szCs w:val="20"/>
        </w:rPr>
        <w:t>. руб. (+</w:t>
      </w:r>
      <w:r w:rsidR="008E4176">
        <w:rPr>
          <w:rFonts w:ascii="Arial" w:hAnsi="Arial" w:cs="Arial"/>
          <w:sz w:val="20"/>
          <w:szCs w:val="20"/>
        </w:rPr>
        <w:t>6,6</w:t>
      </w:r>
      <w:r w:rsidR="004D2D2E">
        <w:rPr>
          <w:rFonts w:ascii="Arial" w:hAnsi="Arial" w:cs="Arial"/>
          <w:sz w:val="20"/>
          <w:szCs w:val="20"/>
        </w:rPr>
        <w:t xml:space="preserve">%), из них ипотечных кредитов 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C9696B">
        <w:rPr>
          <w:rFonts w:ascii="Arial" w:hAnsi="Arial" w:cs="Arial"/>
          <w:sz w:val="20"/>
          <w:szCs w:val="20"/>
        </w:rPr>
        <w:t>–</w:t>
      </w:r>
      <w:r w:rsidR="00F9449D">
        <w:rPr>
          <w:rFonts w:ascii="Arial" w:hAnsi="Arial" w:cs="Arial"/>
          <w:sz w:val="20"/>
          <w:szCs w:val="20"/>
        </w:rPr>
        <w:t xml:space="preserve"> 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577377">
        <w:rPr>
          <w:rFonts w:ascii="Arial" w:hAnsi="Arial" w:cs="Arial"/>
          <w:sz w:val="20"/>
          <w:szCs w:val="20"/>
        </w:rPr>
        <w:t xml:space="preserve">0,78 </w:t>
      </w:r>
      <w:r w:rsidR="00C9696B">
        <w:rPr>
          <w:rFonts w:ascii="Arial" w:hAnsi="Arial" w:cs="Arial"/>
          <w:sz w:val="20"/>
          <w:szCs w:val="20"/>
        </w:rPr>
        <w:t>трлн.руб.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577377">
        <w:rPr>
          <w:rFonts w:ascii="Arial" w:hAnsi="Arial" w:cs="Arial"/>
          <w:sz w:val="20"/>
          <w:szCs w:val="20"/>
        </w:rPr>
        <w:t>(+1</w:t>
      </w:r>
      <w:r w:rsidR="000403A4">
        <w:rPr>
          <w:rFonts w:ascii="Arial" w:hAnsi="Arial" w:cs="Arial"/>
          <w:sz w:val="20"/>
          <w:szCs w:val="20"/>
        </w:rPr>
        <w:t>6</w:t>
      </w:r>
      <w:r w:rsidR="00462754">
        <w:rPr>
          <w:rFonts w:ascii="Arial" w:hAnsi="Arial" w:cs="Arial"/>
          <w:sz w:val="20"/>
          <w:szCs w:val="20"/>
        </w:rPr>
        <w:t xml:space="preserve">%) </w:t>
      </w:r>
      <w:r w:rsidR="00577377">
        <w:rPr>
          <w:rFonts w:ascii="Arial" w:hAnsi="Arial" w:cs="Arial"/>
          <w:sz w:val="20"/>
          <w:szCs w:val="20"/>
        </w:rPr>
        <w:t>по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577377">
        <w:rPr>
          <w:rFonts w:ascii="Arial" w:hAnsi="Arial" w:cs="Arial"/>
          <w:sz w:val="20"/>
          <w:szCs w:val="20"/>
        </w:rPr>
        <w:t xml:space="preserve">средневзвешенной вставке </w:t>
      </w:r>
      <w:r w:rsidR="00462754">
        <w:rPr>
          <w:rFonts w:ascii="Arial" w:hAnsi="Arial" w:cs="Arial"/>
          <w:sz w:val="20"/>
          <w:szCs w:val="20"/>
        </w:rPr>
        <w:t>11,</w:t>
      </w:r>
      <w:r w:rsidR="00577377">
        <w:rPr>
          <w:rFonts w:ascii="Arial" w:hAnsi="Arial" w:cs="Arial"/>
          <w:sz w:val="20"/>
          <w:szCs w:val="20"/>
        </w:rPr>
        <w:t>0</w:t>
      </w:r>
      <w:r w:rsidR="00F83B44">
        <w:rPr>
          <w:rFonts w:ascii="Arial" w:hAnsi="Arial" w:cs="Arial"/>
          <w:sz w:val="20"/>
          <w:szCs w:val="20"/>
        </w:rPr>
        <w:t>% годовых</w:t>
      </w:r>
      <w:r w:rsidR="001B7879">
        <w:rPr>
          <w:rFonts w:ascii="Arial" w:hAnsi="Arial" w:cs="Arial"/>
          <w:sz w:val="20"/>
          <w:szCs w:val="20"/>
        </w:rPr>
        <w:t>.</w:t>
      </w:r>
    </w:p>
    <w:p w:rsidR="00CB7269" w:rsidRDefault="005C403B" w:rsidP="005D625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</w:t>
      </w:r>
      <w:r w:rsidR="009B2FF3" w:rsidRPr="009B2FF3">
        <w:rPr>
          <w:rFonts w:ascii="Arial" w:hAnsi="Arial" w:cs="Arial"/>
          <w:b/>
          <w:sz w:val="20"/>
          <w:szCs w:val="20"/>
        </w:rPr>
        <w:t>клады 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EA7668" w:rsidRPr="004D2D2E">
        <w:rPr>
          <w:rFonts w:ascii="Arial" w:hAnsi="Arial" w:cs="Arial"/>
          <w:sz w:val="20"/>
          <w:szCs w:val="20"/>
        </w:rPr>
        <w:t xml:space="preserve">на </w:t>
      </w:r>
      <w:r w:rsidR="003F0CA9">
        <w:rPr>
          <w:rFonts w:ascii="Arial" w:hAnsi="Arial" w:cs="Arial"/>
          <w:sz w:val="20"/>
          <w:szCs w:val="20"/>
        </w:rPr>
        <w:t>0</w:t>
      </w:r>
      <w:r w:rsidR="00EA7668" w:rsidRPr="004D2D2E">
        <w:rPr>
          <w:rFonts w:ascii="Arial" w:hAnsi="Arial" w:cs="Arial"/>
          <w:sz w:val="20"/>
          <w:szCs w:val="20"/>
        </w:rPr>
        <w:t>1</w:t>
      </w:r>
      <w:r w:rsidR="0018419B">
        <w:rPr>
          <w:rFonts w:ascii="Arial" w:hAnsi="Arial" w:cs="Arial"/>
          <w:sz w:val="20"/>
          <w:szCs w:val="20"/>
        </w:rPr>
        <w:t>.07.</w:t>
      </w:r>
      <w:r w:rsidR="00EA7668" w:rsidRPr="004D2D2E">
        <w:rPr>
          <w:rFonts w:ascii="Arial" w:hAnsi="Arial" w:cs="Arial"/>
          <w:sz w:val="20"/>
          <w:szCs w:val="20"/>
        </w:rPr>
        <w:t xml:space="preserve">2017 года </w:t>
      </w:r>
      <w:r w:rsidR="00477995">
        <w:rPr>
          <w:rFonts w:ascii="Arial" w:hAnsi="Arial" w:cs="Arial"/>
          <w:sz w:val="20"/>
          <w:szCs w:val="20"/>
        </w:rPr>
        <w:t>возросли до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5D6259" w:rsidRPr="005D6259">
        <w:rPr>
          <w:rFonts w:ascii="Arial" w:hAnsi="Arial" w:cs="Arial"/>
          <w:bCs/>
          <w:sz w:val="20"/>
          <w:szCs w:val="20"/>
        </w:rPr>
        <w:t>24</w:t>
      </w:r>
      <w:r w:rsidR="005D6259">
        <w:rPr>
          <w:rFonts w:ascii="Arial" w:hAnsi="Arial" w:cs="Arial"/>
          <w:bCs/>
          <w:sz w:val="20"/>
          <w:szCs w:val="20"/>
        </w:rPr>
        <w:t xml:space="preserve">,9 </w:t>
      </w:r>
      <w:r w:rsidR="000403A4">
        <w:rPr>
          <w:rFonts w:ascii="Arial" w:hAnsi="Arial" w:cs="Arial"/>
          <w:bCs/>
          <w:sz w:val="20"/>
          <w:szCs w:val="20"/>
        </w:rPr>
        <w:t>трлн.</w:t>
      </w:r>
      <w:r w:rsidR="009B101E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руб. (+</w:t>
      </w:r>
      <w:r w:rsidR="0018419B">
        <w:rPr>
          <w:rFonts w:ascii="Arial" w:hAnsi="Arial" w:cs="Arial"/>
          <w:bCs/>
          <w:sz w:val="20"/>
          <w:szCs w:val="20"/>
        </w:rPr>
        <w:t>8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9B2FF3">
        <w:rPr>
          <w:rFonts w:ascii="Arial" w:hAnsi="Arial" w:cs="Arial"/>
          <w:bCs/>
          <w:sz w:val="20"/>
          <w:szCs w:val="20"/>
        </w:rPr>
        <w:t>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2B6E1E">
        <w:rPr>
          <w:rFonts w:ascii="Arial" w:hAnsi="Arial" w:cs="Arial"/>
          <w:bCs/>
          <w:sz w:val="20"/>
          <w:szCs w:val="20"/>
        </w:rPr>
        <w:t>по итогам августа</w:t>
      </w:r>
      <w:r>
        <w:rPr>
          <w:rFonts w:ascii="Arial" w:hAnsi="Arial" w:cs="Arial"/>
          <w:bCs/>
          <w:sz w:val="20"/>
          <w:szCs w:val="20"/>
        </w:rPr>
        <w:t xml:space="preserve"> 2017 г. </w:t>
      </w:r>
      <w:r w:rsidR="009B101E">
        <w:rPr>
          <w:rFonts w:ascii="Arial" w:hAnsi="Arial" w:cs="Arial"/>
          <w:bCs/>
          <w:sz w:val="20"/>
          <w:szCs w:val="20"/>
        </w:rPr>
        <w:t xml:space="preserve">по сравнению </w:t>
      </w:r>
      <w:r w:rsidR="002B6E1E">
        <w:rPr>
          <w:rFonts w:ascii="Arial" w:hAnsi="Arial" w:cs="Arial"/>
          <w:bCs/>
          <w:sz w:val="20"/>
          <w:szCs w:val="20"/>
        </w:rPr>
        <w:t>аналогичным периодом</w:t>
      </w:r>
      <w:r>
        <w:rPr>
          <w:rFonts w:ascii="Arial" w:hAnsi="Arial" w:cs="Arial"/>
          <w:bCs/>
          <w:sz w:val="20"/>
          <w:szCs w:val="20"/>
        </w:rPr>
        <w:t xml:space="preserve"> 2016 г. 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130051">
        <w:rPr>
          <w:rFonts w:ascii="Arial" w:hAnsi="Arial" w:cs="Arial"/>
          <w:bCs/>
          <w:sz w:val="20"/>
          <w:szCs w:val="20"/>
        </w:rPr>
        <w:t>3,</w:t>
      </w:r>
      <w:r w:rsidR="002B6E1E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18.09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0141E7">
        <w:rPr>
          <w:rFonts w:ascii="Arial" w:hAnsi="Arial" w:cs="Arial"/>
          <w:sz w:val="20"/>
          <w:szCs w:val="20"/>
        </w:rPr>
        <w:t xml:space="preserve">- </w:t>
      </w:r>
      <w:r w:rsidR="00F83B44">
        <w:rPr>
          <w:rFonts w:ascii="Arial" w:hAnsi="Arial" w:cs="Arial"/>
          <w:sz w:val="20"/>
          <w:szCs w:val="20"/>
        </w:rPr>
        <w:t xml:space="preserve"> 8,5</w:t>
      </w:r>
      <w:r w:rsidR="00462754" w:rsidRPr="00462754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462754" w:rsidRDefault="008556E3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22.09.2017 - 427</w:t>
      </w:r>
      <w:r w:rsidRPr="00A453FC">
        <w:rPr>
          <w:rFonts w:ascii="Arial" w:hAnsi="Arial" w:cs="Arial"/>
          <w:sz w:val="20"/>
          <w:szCs w:val="20"/>
        </w:rPr>
        <w:t>,1</w:t>
      </w:r>
      <w:r>
        <w:rPr>
          <w:rFonts w:ascii="Arial" w:hAnsi="Arial" w:cs="Arial"/>
          <w:sz w:val="20"/>
          <w:szCs w:val="20"/>
        </w:rPr>
        <w:t xml:space="preserve"> млрд. долл. (+7,3% по сравнению с аналогичным периодом прошлого года).</w:t>
      </w:r>
    </w:p>
    <w:p w:rsidR="00EC495E" w:rsidRDefault="00240CEE" w:rsidP="007D386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EC495E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B450E7F" wp14:editId="7349D026">
            <wp:simplePos x="0" y="0"/>
            <wp:positionH relativeFrom="column">
              <wp:posOffset>1386840</wp:posOffset>
            </wp:positionH>
            <wp:positionV relativeFrom="paragraph">
              <wp:posOffset>481330</wp:posOffset>
            </wp:positionV>
            <wp:extent cx="3763645" cy="1191895"/>
            <wp:effectExtent l="0" t="0" r="8255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B44">
        <w:rPr>
          <w:rFonts w:ascii="Arial" w:hAnsi="Arial" w:cs="Arial"/>
          <w:sz w:val="20"/>
          <w:szCs w:val="20"/>
        </w:rPr>
        <w:t>На 01.09.2017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  <w:r w:rsidR="00F83B44">
          <w:rPr>
            <w:rStyle w:val="a4"/>
            <w:rFonts w:ascii="Arial" w:hAnsi="Arial" w:cs="Arial"/>
            <w:sz w:val="20"/>
            <w:szCs w:val="20"/>
          </w:rPr>
          <w:t>я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 xml:space="preserve"> целев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  <w:r w:rsidR="00F83B44">
          <w:rPr>
            <w:rStyle w:val="a4"/>
            <w:rFonts w:ascii="Arial" w:hAnsi="Arial" w:cs="Arial"/>
            <w:sz w:val="20"/>
            <w:szCs w:val="20"/>
          </w:rPr>
          <w:t>я</w:t>
        </w:r>
        <w:r w:rsidR="00EA7668" w:rsidRPr="005B2BF5">
          <w:rPr>
            <w:rStyle w:val="a4"/>
            <w:rFonts w:ascii="Arial" w:hAnsi="Arial" w:cs="Arial"/>
            <w:sz w:val="20"/>
            <w:szCs w:val="20"/>
          </w:rPr>
          <w:t xml:space="preserve"> программ</w:t>
        </w:r>
        <w:r w:rsidR="001B6BE6">
          <w:rPr>
            <w:rStyle w:val="a4"/>
            <w:rFonts w:ascii="Arial" w:hAnsi="Arial" w:cs="Arial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 xml:space="preserve">развития в сумме </w:t>
      </w:r>
      <w:r w:rsidR="00EC495E" w:rsidRPr="00EC495E">
        <w:rPr>
          <w:rFonts w:ascii="Arial" w:hAnsi="Arial" w:cs="Arial"/>
          <w:bCs/>
          <w:sz w:val="20"/>
          <w:szCs w:val="20"/>
        </w:rPr>
        <w:t>7</w:t>
      </w:r>
      <w:r w:rsidR="00EC495E">
        <w:rPr>
          <w:rFonts w:ascii="Arial" w:hAnsi="Arial" w:cs="Arial"/>
          <w:bCs/>
          <w:sz w:val="20"/>
          <w:szCs w:val="20"/>
        </w:rPr>
        <w:t>,</w:t>
      </w:r>
      <w:r w:rsidR="00EC495E" w:rsidRPr="00EC495E">
        <w:rPr>
          <w:rFonts w:ascii="Arial" w:hAnsi="Arial" w:cs="Arial"/>
          <w:bCs/>
          <w:sz w:val="20"/>
          <w:szCs w:val="20"/>
        </w:rPr>
        <w:t>36</w:t>
      </w:r>
      <w:r w:rsidR="00EC495E">
        <w:rPr>
          <w:rFonts w:ascii="Arial" w:hAnsi="Arial" w:cs="Arial"/>
          <w:bCs/>
          <w:sz w:val="20"/>
          <w:szCs w:val="20"/>
        </w:rPr>
        <w:t xml:space="preserve">9 трлн. </w:t>
      </w:r>
      <w:r w:rsidR="00EC495E" w:rsidRPr="00EC495E">
        <w:rPr>
          <w:rFonts w:ascii="Arial" w:hAnsi="Arial" w:cs="Arial"/>
          <w:bCs/>
          <w:sz w:val="20"/>
          <w:szCs w:val="20"/>
        </w:rPr>
        <w:t>рублей</w:t>
      </w:r>
      <w:r w:rsidR="00EC495E">
        <w:rPr>
          <w:rFonts w:ascii="Arial" w:hAnsi="Arial" w:cs="Arial"/>
          <w:bCs/>
          <w:sz w:val="20"/>
          <w:szCs w:val="20"/>
        </w:rPr>
        <w:t>:</w:t>
      </w:r>
    </w:p>
    <w:p w:rsidR="007D386A" w:rsidRDefault="007D386A" w:rsidP="00EC495E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</w:p>
    <w:p w:rsidR="00240CEE" w:rsidRDefault="00240CEE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F0C1B" w:rsidRPr="0079696A" w:rsidRDefault="0079696A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F9449D" w:rsidRDefault="00D564A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мировых цен сырьевых товаров (нефти, газа, металлов)</w:t>
      </w:r>
      <w:r w:rsidR="001060BB">
        <w:rPr>
          <w:rFonts w:ascii="Arial" w:hAnsi="Arial" w:cs="Arial"/>
          <w:sz w:val="20"/>
          <w:szCs w:val="20"/>
        </w:rPr>
        <w:t xml:space="preserve"> со второй половины 2014 года</w:t>
      </w:r>
      <w:r>
        <w:rPr>
          <w:rFonts w:ascii="Arial" w:hAnsi="Arial" w:cs="Arial"/>
          <w:sz w:val="20"/>
          <w:szCs w:val="20"/>
        </w:rPr>
        <w:t xml:space="preserve"> и </w:t>
      </w:r>
      <w:r w:rsidR="001060BB">
        <w:rPr>
          <w:rFonts w:ascii="Arial" w:hAnsi="Arial" w:cs="Arial"/>
          <w:sz w:val="20"/>
          <w:szCs w:val="20"/>
        </w:rPr>
        <w:t xml:space="preserve">вызванное этим </w:t>
      </w:r>
      <w:r>
        <w:rPr>
          <w:rFonts w:ascii="Arial" w:hAnsi="Arial" w:cs="Arial"/>
          <w:sz w:val="20"/>
          <w:szCs w:val="20"/>
        </w:rPr>
        <w:t xml:space="preserve">снижение курса рубля </w:t>
      </w:r>
      <w:r w:rsidR="00C1113D">
        <w:rPr>
          <w:rFonts w:ascii="Arial" w:hAnsi="Arial" w:cs="Arial"/>
          <w:sz w:val="20"/>
          <w:szCs w:val="20"/>
        </w:rPr>
        <w:t xml:space="preserve">по отношению </w:t>
      </w:r>
      <w:r>
        <w:rPr>
          <w:rFonts w:ascii="Arial" w:hAnsi="Arial" w:cs="Arial"/>
          <w:sz w:val="20"/>
          <w:szCs w:val="20"/>
        </w:rPr>
        <w:t xml:space="preserve">к западным валютам </w:t>
      </w:r>
      <w:r w:rsidR="001060BB">
        <w:rPr>
          <w:rFonts w:ascii="Arial" w:hAnsi="Arial" w:cs="Arial"/>
          <w:sz w:val="20"/>
          <w:szCs w:val="20"/>
        </w:rPr>
        <w:t>уже в</w:t>
      </w:r>
      <w:r w:rsidR="005C5233">
        <w:rPr>
          <w:rFonts w:ascii="Arial" w:hAnsi="Arial" w:cs="Arial"/>
          <w:sz w:val="20"/>
          <w:szCs w:val="20"/>
        </w:rPr>
        <w:t xml:space="preserve"> 2015 году </w:t>
      </w:r>
      <w:r w:rsidR="001060BB">
        <w:rPr>
          <w:rFonts w:ascii="Arial" w:hAnsi="Arial" w:cs="Arial"/>
          <w:sz w:val="20"/>
          <w:szCs w:val="20"/>
        </w:rPr>
        <w:t xml:space="preserve">привело к </w:t>
      </w:r>
      <w:r w:rsidR="005C5233">
        <w:rPr>
          <w:rFonts w:ascii="Arial" w:hAnsi="Arial" w:cs="Arial"/>
          <w:sz w:val="20"/>
          <w:szCs w:val="20"/>
        </w:rPr>
        <w:t>сокращени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доходов госбюджета и повышени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цен импортных товаров</w:t>
      </w:r>
      <w:r w:rsidR="00056BB8">
        <w:rPr>
          <w:rFonts w:ascii="Arial" w:hAnsi="Arial" w:cs="Arial"/>
          <w:sz w:val="20"/>
          <w:szCs w:val="20"/>
        </w:rPr>
        <w:t xml:space="preserve"> (как потребительских, так и производственного назначения)</w:t>
      </w:r>
      <w:r w:rsidR="00C1113D">
        <w:rPr>
          <w:rFonts w:ascii="Arial" w:hAnsi="Arial" w:cs="Arial"/>
          <w:sz w:val="20"/>
          <w:szCs w:val="20"/>
        </w:rPr>
        <w:t xml:space="preserve">. Учитывая, что </w:t>
      </w:r>
      <w:r w:rsidR="005C5233">
        <w:rPr>
          <w:rFonts w:ascii="Arial" w:hAnsi="Arial" w:cs="Arial"/>
          <w:sz w:val="20"/>
          <w:szCs w:val="20"/>
        </w:rPr>
        <w:t xml:space="preserve">доля </w:t>
      </w:r>
      <w:r w:rsidR="00C1113D">
        <w:rPr>
          <w:rFonts w:ascii="Arial" w:hAnsi="Arial" w:cs="Arial"/>
          <w:sz w:val="20"/>
          <w:szCs w:val="20"/>
        </w:rPr>
        <w:t xml:space="preserve">импорта </w:t>
      </w:r>
      <w:r w:rsidR="005C5233">
        <w:rPr>
          <w:rFonts w:ascii="Arial" w:hAnsi="Arial" w:cs="Arial"/>
          <w:sz w:val="20"/>
          <w:szCs w:val="20"/>
        </w:rPr>
        <w:t xml:space="preserve">в общем объёме к </w:t>
      </w:r>
      <w:r w:rsidR="0079696A">
        <w:rPr>
          <w:rFonts w:ascii="Arial" w:hAnsi="Arial" w:cs="Arial"/>
          <w:sz w:val="20"/>
          <w:szCs w:val="20"/>
        </w:rPr>
        <w:t xml:space="preserve">тому времени </w:t>
      </w:r>
      <w:r w:rsidR="00C1113D">
        <w:rPr>
          <w:rFonts w:ascii="Arial" w:hAnsi="Arial" w:cs="Arial"/>
          <w:sz w:val="20"/>
          <w:szCs w:val="20"/>
        </w:rPr>
        <w:t xml:space="preserve">составляла более 40%, </w:t>
      </w:r>
      <w:r w:rsidR="00056BB8">
        <w:rPr>
          <w:rFonts w:ascii="Arial" w:hAnsi="Arial" w:cs="Arial"/>
          <w:sz w:val="20"/>
          <w:szCs w:val="20"/>
        </w:rPr>
        <w:t>резко повыси</w:t>
      </w:r>
      <w:r w:rsidR="00600392">
        <w:rPr>
          <w:rFonts w:ascii="Arial" w:hAnsi="Arial" w:cs="Arial"/>
          <w:sz w:val="20"/>
          <w:szCs w:val="20"/>
        </w:rPr>
        <w:t xml:space="preserve">лись </w:t>
      </w:r>
      <w:r w:rsidR="00056BB8">
        <w:rPr>
          <w:rFonts w:ascii="Arial" w:hAnsi="Arial" w:cs="Arial"/>
          <w:sz w:val="20"/>
          <w:szCs w:val="20"/>
        </w:rPr>
        <w:t>цены потребительского рынка и рынка товаров производственного назначения</w:t>
      </w:r>
      <w:r w:rsidR="00C61C98">
        <w:rPr>
          <w:rFonts w:ascii="Arial" w:hAnsi="Arial" w:cs="Arial"/>
          <w:sz w:val="20"/>
          <w:szCs w:val="20"/>
        </w:rPr>
        <w:t>. Э</w:t>
      </w:r>
      <w:r w:rsidR="00E63FCF">
        <w:rPr>
          <w:rFonts w:ascii="Arial" w:hAnsi="Arial" w:cs="Arial"/>
          <w:sz w:val="20"/>
          <w:szCs w:val="20"/>
        </w:rPr>
        <w:t>то</w:t>
      </w:r>
      <w:r w:rsidR="001060BB">
        <w:rPr>
          <w:rFonts w:ascii="Arial" w:hAnsi="Arial" w:cs="Arial"/>
          <w:sz w:val="20"/>
          <w:szCs w:val="20"/>
        </w:rPr>
        <w:t xml:space="preserve"> обрушило </w:t>
      </w:r>
      <w:r w:rsidR="005C5233">
        <w:rPr>
          <w:rFonts w:ascii="Arial" w:hAnsi="Arial" w:cs="Arial"/>
          <w:sz w:val="20"/>
          <w:szCs w:val="20"/>
        </w:rPr>
        <w:t>реальны</w:t>
      </w:r>
      <w:r w:rsidR="001060BB">
        <w:rPr>
          <w:rFonts w:ascii="Arial" w:hAnsi="Arial" w:cs="Arial"/>
          <w:sz w:val="20"/>
          <w:szCs w:val="20"/>
        </w:rPr>
        <w:t>е</w:t>
      </w:r>
      <w:r w:rsidR="005C5233">
        <w:rPr>
          <w:rFonts w:ascii="Arial" w:hAnsi="Arial" w:cs="Arial"/>
          <w:sz w:val="20"/>
          <w:szCs w:val="20"/>
        </w:rPr>
        <w:t xml:space="preserve"> доход</w:t>
      </w:r>
      <w:r w:rsidR="001060BB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подавляющей части населения</w:t>
      </w:r>
      <w:r w:rsidR="001060BB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и компаний </w:t>
      </w:r>
      <w:r w:rsidR="001060BB">
        <w:rPr>
          <w:rFonts w:ascii="Arial" w:hAnsi="Arial" w:cs="Arial"/>
          <w:sz w:val="20"/>
          <w:szCs w:val="20"/>
        </w:rPr>
        <w:t>и</w:t>
      </w:r>
      <w:r w:rsidR="005C5233">
        <w:rPr>
          <w:rFonts w:ascii="Arial" w:hAnsi="Arial" w:cs="Arial"/>
          <w:sz w:val="20"/>
          <w:szCs w:val="20"/>
        </w:rPr>
        <w:t xml:space="preserve"> резко сократило потребительский спрос</w:t>
      </w:r>
      <w:r w:rsidR="001060BB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выразившись</w:t>
      </w:r>
      <w:r w:rsidR="005C5233">
        <w:rPr>
          <w:rFonts w:ascii="Arial" w:hAnsi="Arial" w:cs="Arial"/>
          <w:sz w:val="20"/>
          <w:szCs w:val="20"/>
        </w:rPr>
        <w:t xml:space="preserve"> в снижении розничного товарооборота и услуг</w:t>
      </w:r>
      <w:r w:rsidR="00C61C98">
        <w:rPr>
          <w:rFonts w:ascii="Arial" w:hAnsi="Arial" w:cs="Arial"/>
          <w:sz w:val="20"/>
          <w:szCs w:val="20"/>
        </w:rPr>
        <w:t>.</w:t>
      </w:r>
      <w:r w:rsidR="00056BB8">
        <w:rPr>
          <w:rFonts w:ascii="Arial" w:hAnsi="Arial" w:cs="Arial"/>
          <w:sz w:val="20"/>
          <w:szCs w:val="20"/>
        </w:rPr>
        <w:t xml:space="preserve"> </w:t>
      </w:r>
      <w:r w:rsidR="00C61C98">
        <w:rPr>
          <w:rFonts w:ascii="Arial" w:hAnsi="Arial" w:cs="Arial"/>
          <w:sz w:val="20"/>
          <w:szCs w:val="20"/>
        </w:rPr>
        <w:t xml:space="preserve">Далее, по цепочке, снизились объёмы производства товаров и услуг, объёмы торговли товарами производственного назначения, объёмы строительства, что привело к убыткам большого числа компаний, занятых в этих отраслях, а также компаний, связанных с добывающими отраслями, нарушению хозяйственных связей. Последовали сокращения штатов ряда организаций, увольнения работников, рост социальной напряжённости, падение деловой активности бизнеса и населения. </w:t>
      </w:r>
    </w:p>
    <w:p w:rsidR="00C61C98" w:rsidRDefault="0060039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Соответственно</w:t>
      </w:r>
      <w:r w:rsidR="00C61C9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F9449D">
        <w:rPr>
          <w:rFonts w:ascii="Arial" w:hAnsi="Arial" w:cs="Arial"/>
          <w:sz w:val="20"/>
          <w:szCs w:val="20"/>
        </w:rPr>
        <w:t xml:space="preserve">всё </w:t>
      </w:r>
      <w:r>
        <w:rPr>
          <w:rFonts w:ascii="Arial" w:hAnsi="Arial" w:cs="Arial"/>
          <w:sz w:val="20"/>
          <w:szCs w:val="20"/>
        </w:rPr>
        <w:t>это отразилось на</w:t>
      </w:r>
      <w:r w:rsidR="00606832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снижении </w:t>
      </w:r>
      <w:r w:rsidR="00AE726C">
        <w:rPr>
          <w:rFonts w:ascii="Arial" w:hAnsi="Arial" w:cs="Arial"/>
          <w:sz w:val="20"/>
          <w:szCs w:val="20"/>
        </w:rPr>
        <w:t xml:space="preserve">количества </w:t>
      </w:r>
      <w:r w:rsidR="00056BB8">
        <w:rPr>
          <w:rFonts w:ascii="Arial" w:hAnsi="Arial" w:cs="Arial"/>
          <w:sz w:val="20"/>
          <w:szCs w:val="20"/>
        </w:rPr>
        <w:t xml:space="preserve">сделок на рынке недвижимости. </w:t>
      </w:r>
    </w:p>
    <w:p w:rsidR="00850D8E" w:rsidRDefault="00AE726C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начале 2016 года ещё </w:t>
      </w:r>
      <w:r w:rsidR="008717C1">
        <w:rPr>
          <w:rFonts w:ascii="Arial" w:hAnsi="Arial" w:cs="Arial"/>
          <w:sz w:val="20"/>
          <w:szCs w:val="20"/>
        </w:rPr>
        <w:t xml:space="preserve">отчасти </w:t>
      </w:r>
      <w:r>
        <w:rPr>
          <w:rFonts w:ascii="Arial" w:hAnsi="Arial" w:cs="Arial"/>
          <w:sz w:val="20"/>
          <w:szCs w:val="20"/>
        </w:rPr>
        <w:t>продолжал</w:t>
      </w:r>
      <w:r w:rsidR="008717C1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сь </w:t>
      </w:r>
      <w:r w:rsidR="008717C1">
        <w:rPr>
          <w:rFonts w:ascii="Arial" w:hAnsi="Arial" w:cs="Arial"/>
          <w:sz w:val="20"/>
          <w:szCs w:val="20"/>
        </w:rPr>
        <w:t>эти деструктивные события, но</w:t>
      </w:r>
      <w:r w:rsidR="0080398A">
        <w:rPr>
          <w:rFonts w:ascii="Arial" w:hAnsi="Arial" w:cs="Arial"/>
          <w:sz w:val="20"/>
          <w:szCs w:val="20"/>
        </w:rPr>
        <w:t>, в том числе на фоне стабилизации мировых цен на сырьё</w:t>
      </w:r>
      <w:r w:rsidR="008717C1">
        <w:rPr>
          <w:rFonts w:ascii="Arial" w:hAnsi="Arial" w:cs="Arial"/>
          <w:sz w:val="20"/>
          <w:szCs w:val="20"/>
        </w:rPr>
        <w:t xml:space="preserve"> </w:t>
      </w:r>
      <w:r w:rsidR="0080398A">
        <w:rPr>
          <w:rFonts w:ascii="Arial" w:hAnsi="Arial" w:cs="Arial"/>
          <w:sz w:val="20"/>
          <w:szCs w:val="20"/>
        </w:rPr>
        <w:t xml:space="preserve">уже </w:t>
      </w:r>
      <w:r w:rsidR="008717C1">
        <w:rPr>
          <w:rFonts w:ascii="Arial" w:hAnsi="Arial" w:cs="Arial"/>
          <w:sz w:val="20"/>
          <w:szCs w:val="20"/>
        </w:rPr>
        <w:t xml:space="preserve">наметилась тенденция </w:t>
      </w:r>
      <w:r w:rsidR="00EE5E90">
        <w:rPr>
          <w:rFonts w:ascii="Arial" w:hAnsi="Arial" w:cs="Arial"/>
          <w:sz w:val="20"/>
          <w:szCs w:val="20"/>
        </w:rPr>
        <w:t xml:space="preserve">восстановления и роста </w:t>
      </w:r>
      <w:r w:rsidR="00E63FCF">
        <w:rPr>
          <w:rFonts w:ascii="Arial" w:hAnsi="Arial" w:cs="Arial"/>
          <w:sz w:val="20"/>
          <w:szCs w:val="20"/>
        </w:rPr>
        <w:t>макро</w:t>
      </w:r>
      <w:r w:rsidR="00EE5E90">
        <w:rPr>
          <w:rFonts w:ascii="Arial" w:hAnsi="Arial" w:cs="Arial"/>
          <w:sz w:val="20"/>
          <w:szCs w:val="20"/>
        </w:rPr>
        <w:t>экономических показателей.</w:t>
      </w:r>
      <w:r>
        <w:rPr>
          <w:rFonts w:ascii="Arial" w:hAnsi="Arial" w:cs="Arial"/>
          <w:sz w:val="20"/>
          <w:szCs w:val="20"/>
        </w:rPr>
        <w:t xml:space="preserve">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Сработала и </w:t>
      </w:r>
      <w:r w:rsidR="00743E94">
        <w:rPr>
          <w:rFonts w:ascii="Arial" w:hAnsi="Arial" w:cs="Arial"/>
          <w:bCs/>
          <w:sz w:val="20"/>
          <w:szCs w:val="20"/>
        </w:rPr>
        <w:t xml:space="preserve">государственная </w:t>
      </w:r>
      <w:r w:rsidR="00823DFC" w:rsidRPr="00A40452">
        <w:rPr>
          <w:rFonts w:ascii="Arial" w:hAnsi="Arial" w:cs="Arial"/>
          <w:bCs/>
          <w:sz w:val="20"/>
          <w:szCs w:val="20"/>
        </w:rPr>
        <w:t>политика импортозамещения</w:t>
      </w:r>
      <w:bookmarkStart w:id="0" w:name="_GoBack"/>
      <w:bookmarkEnd w:id="0"/>
      <w:r w:rsidR="00A40452" w:rsidRPr="00A40452">
        <w:rPr>
          <w:rFonts w:ascii="Arial" w:hAnsi="Arial" w:cs="Arial"/>
          <w:bCs/>
          <w:sz w:val="20"/>
          <w:szCs w:val="20"/>
        </w:rPr>
        <w:t xml:space="preserve"> - объёмы импорта продовольствия в Россию снизились за время действия продовольственного эмбарго в 3 раза (с 60 до 20 млрд долларов). Замещена основная часть украинских товаров.</w:t>
      </w:r>
    </w:p>
    <w:p w:rsidR="00FC09C3" w:rsidRDefault="003F3DFE" w:rsidP="00A40452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F0C1B">
        <w:rPr>
          <w:rFonts w:ascii="Arial" w:hAnsi="Arial" w:cs="Arial"/>
          <w:sz w:val="20"/>
          <w:szCs w:val="20"/>
        </w:rPr>
        <w:t xml:space="preserve"> после падения </w:t>
      </w:r>
      <w:r w:rsidR="005E3684">
        <w:rPr>
          <w:rFonts w:ascii="Arial" w:hAnsi="Arial" w:cs="Arial"/>
          <w:sz w:val="20"/>
          <w:szCs w:val="20"/>
        </w:rPr>
        <w:t xml:space="preserve">в </w:t>
      </w:r>
      <w:r w:rsidR="001F0C1B">
        <w:rPr>
          <w:rFonts w:ascii="Arial" w:hAnsi="Arial" w:cs="Arial"/>
          <w:sz w:val="20"/>
          <w:szCs w:val="20"/>
        </w:rPr>
        <w:t>2015 год</w:t>
      </w:r>
      <w:r w:rsidR="005E3684">
        <w:rPr>
          <w:rFonts w:ascii="Arial" w:hAnsi="Arial" w:cs="Arial"/>
          <w:sz w:val="20"/>
          <w:szCs w:val="20"/>
        </w:rPr>
        <w:t>у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начиная с 2016 года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</w:t>
      </w:r>
      <w:r w:rsidR="00F8606B">
        <w:rPr>
          <w:rFonts w:ascii="Arial" w:hAnsi="Arial" w:cs="Arial"/>
          <w:sz w:val="20"/>
          <w:szCs w:val="20"/>
        </w:rPr>
        <w:t>в целом</w:t>
      </w:r>
      <w:r w:rsidR="00F9449D">
        <w:rPr>
          <w:rFonts w:ascii="Arial" w:hAnsi="Arial" w:cs="Arial"/>
          <w:sz w:val="20"/>
          <w:szCs w:val="20"/>
        </w:rPr>
        <w:t>,</w:t>
      </w:r>
      <w:r w:rsidR="00F8606B">
        <w:rPr>
          <w:rFonts w:ascii="Arial" w:hAnsi="Arial" w:cs="Arial"/>
          <w:sz w:val="20"/>
          <w:szCs w:val="20"/>
        </w:rPr>
        <w:t xml:space="preserve"> </w:t>
      </w:r>
      <w:r w:rsidR="001F0C1B">
        <w:rPr>
          <w:rFonts w:ascii="Arial" w:hAnsi="Arial" w:cs="Arial"/>
          <w:sz w:val="20"/>
          <w:szCs w:val="20"/>
        </w:rPr>
        <w:t>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DE3D00">
        <w:rPr>
          <w:rFonts w:ascii="Arial" w:hAnsi="Arial" w:cs="Arial"/>
          <w:sz w:val="20"/>
          <w:szCs w:val="20"/>
        </w:rPr>
        <w:t>Но такая положительная динамика проявляется не только по причине действия «невидимой руки рынка»,</w:t>
      </w:r>
      <w:r w:rsidR="00EE5E90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проявления рыночных законов</w:t>
      </w:r>
      <w:r w:rsidR="00606832">
        <w:rPr>
          <w:rFonts w:ascii="Arial" w:hAnsi="Arial" w:cs="Arial"/>
          <w:sz w:val="20"/>
          <w:szCs w:val="20"/>
        </w:rPr>
        <w:t>.</w:t>
      </w:r>
      <w:r w:rsidR="00E63FCF">
        <w:rPr>
          <w:rFonts w:ascii="Arial" w:hAnsi="Arial" w:cs="Arial"/>
          <w:sz w:val="20"/>
          <w:szCs w:val="20"/>
        </w:rPr>
        <w:t xml:space="preserve"> </w:t>
      </w:r>
      <w:r w:rsidR="00606832">
        <w:rPr>
          <w:rFonts w:ascii="Arial" w:hAnsi="Arial" w:cs="Arial"/>
          <w:sz w:val="20"/>
          <w:szCs w:val="20"/>
        </w:rPr>
        <w:t>Эт</w:t>
      </w:r>
      <w:r w:rsidR="00DE3D00">
        <w:rPr>
          <w:rFonts w:ascii="Arial" w:hAnsi="Arial" w:cs="Arial"/>
          <w:sz w:val="20"/>
          <w:szCs w:val="20"/>
        </w:rPr>
        <w:t>ого было бы недостаточно</w:t>
      </w:r>
      <w:r w:rsidR="00E63FCF">
        <w:rPr>
          <w:rFonts w:ascii="Arial" w:hAnsi="Arial" w:cs="Arial"/>
          <w:sz w:val="20"/>
          <w:szCs w:val="20"/>
        </w:rPr>
        <w:t>. 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направлено и исполняются</w:t>
      </w:r>
      <w:r w:rsidR="005B2BF5">
        <w:rPr>
          <w:rFonts w:ascii="Arial" w:hAnsi="Arial" w:cs="Arial"/>
          <w:sz w:val="20"/>
          <w:szCs w:val="20"/>
        </w:rPr>
        <w:t xml:space="preserve"> 18 </w:t>
      </w:r>
      <w:r w:rsidR="00E40778">
        <w:rPr>
          <w:rFonts w:ascii="Arial" w:hAnsi="Arial" w:cs="Arial"/>
          <w:sz w:val="20"/>
          <w:szCs w:val="20"/>
        </w:rPr>
        <w:t xml:space="preserve">федеральных целевых </w:t>
      </w:r>
      <w:r w:rsidR="005B2BF5">
        <w:rPr>
          <w:rFonts w:ascii="Arial" w:hAnsi="Arial" w:cs="Arial"/>
          <w:sz w:val="20"/>
          <w:szCs w:val="20"/>
        </w:rPr>
        <w:t xml:space="preserve">программ </w:t>
      </w:r>
      <w:r w:rsidR="00E40778">
        <w:rPr>
          <w:rFonts w:ascii="Arial" w:hAnsi="Arial" w:cs="Arial"/>
          <w:sz w:val="20"/>
          <w:szCs w:val="20"/>
        </w:rPr>
        <w:t xml:space="preserve">направления </w:t>
      </w:r>
      <w:r w:rsidR="005B2BF5">
        <w:rPr>
          <w:rFonts w:ascii="Arial" w:hAnsi="Arial" w:cs="Arial"/>
          <w:sz w:val="20"/>
          <w:szCs w:val="20"/>
        </w:rPr>
        <w:t>«</w:t>
      </w:r>
      <w:hyperlink r:id="rId8" w:history="1">
        <w:r w:rsidR="005B2BF5" w:rsidRPr="005B2BF5">
          <w:rPr>
            <w:rStyle w:val="a4"/>
            <w:rFonts w:ascii="Arial" w:hAnsi="Arial" w:cs="Arial"/>
            <w:sz w:val="20"/>
            <w:szCs w:val="20"/>
          </w:rPr>
          <w:t>Инновационное развитие и модернизация экономики</w:t>
        </w:r>
      </w:hyperlink>
      <w:r w:rsidR="005B2BF5">
        <w:rPr>
          <w:rFonts w:ascii="Arial" w:hAnsi="Arial" w:cs="Arial"/>
          <w:sz w:val="20"/>
          <w:szCs w:val="20"/>
        </w:rPr>
        <w:t xml:space="preserve">». </w:t>
      </w:r>
      <w:r w:rsidR="00D564A2">
        <w:rPr>
          <w:rFonts w:ascii="Arial" w:hAnsi="Arial" w:cs="Arial"/>
          <w:sz w:val="20"/>
          <w:szCs w:val="20"/>
        </w:rPr>
        <w:t>Структурная реформа долгосрочна и</w:t>
      </w:r>
      <w:r w:rsidR="004B503F">
        <w:rPr>
          <w:rFonts w:ascii="Arial" w:hAnsi="Arial" w:cs="Arial"/>
          <w:sz w:val="20"/>
          <w:szCs w:val="20"/>
        </w:rPr>
        <w:t xml:space="preserve">, к сожалению, </w:t>
      </w:r>
      <w:r w:rsidR="00741994">
        <w:rPr>
          <w:rFonts w:ascii="Arial" w:hAnsi="Arial" w:cs="Arial"/>
          <w:sz w:val="20"/>
          <w:szCs w:val="20"/>
        </w:rPr>
        <w:t>неизбежно сопро</w:t>
      </w:r>
      <w:r w:rsidR="00606832">
        <w:rPr>
          <w:rFonts w:ascii="Arial" w:hAnsi="Arial" w:cs="Arial"/>
          <w:sz w:val="20"/>
          <w:szCs w:val="20"/>
        </w:rPr>
        <w:t>вождается падением уровня реальных доходов населения</w:t>
      </w:r>
      <w:r w:rsidR="00741994">
        <w:rPr>
          <w:rFonts w:ascii="Arial" w:hAnsi="Arial" w:cs="Arial"/>
          <w:sz w:val="20"/>
          <w:szCs w:val="20"/>
        </w:rPr>
        <w:t>.</w:t>
      </w:r>
      <w:r w:rsidR="004B503F">
        <w:rPr>
          <w:rFonts w:ascii="Arial" w:hAnsi="Arial" w:cs="Arial"/>
          <w:sz w:val="20"/>
          <w:szCs w:val="20"/>
        </w:rPr>
        <w:t xml:space="preserve"> Учитывая это, запланированы и реализуются </w:t>
      </w:r>
      <w:r w:rsidR="00E86AB3">
        <w:rPr>
          <w:rFonts w:ascii="Arial" w:hAnsi="Arial" w:cs="Arial"/>
          <w:sz w:val="20"/>
          <w:szCs w:val="20"/>
        </w:rPr>
        <w:t xml:space="preserve">14 </w:t>
      </w:r>
      <w:r w:rsidR="00D564A2">
        <w:rPr>
          <w:rFonts w:ascii="Arial" w:hAnsi="Arial" w:cs="Arial"/>
          <w:sz w:val="20"/>
          <w:szCs w:val="20"/>
        </w:rPr>
        <w:t xml:space="preserve">социальных </w:t>
      </w:r>
      <w:r w:rsidR="00DE3D00">
        <w:rPr>
          <w:rFonts w:ascii="Arial" w:hAnsi="Arial" w:cs="Arial"/>
          <w:sz w:val="20"/>
          <w:szCs w:val="20"/>
        </w:rPr>
        <w:t>гос</w:t>
      </w:r>
      <w:r w:rsidR="004B503F">
        <w:rPr>
          <w:rFonts w:ascii="Arial" w:hAnsi="Arial" w:cs="Arial"/>
          <w:sz w:val="20"/>
          <w:szCs w:val="20"/>
        </w:rPr>
        <w:t>программ</w:t>
      </w:r>
      <w:r w:rsidR="00E86AB3">
        <w:rPr>
          <w:rFonts w:ascii="Arial" w:hAnsi="Arial" w:cs="Arial"/>
          <w:sz w:val="20"/>
          <w:szCs w:val="20"/>
        </w:rPr>
        <w:t>, в том числе,</w:t>
      </w:r>
      <w:r w:rsidR="004B503F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4B503F" w:rsidRPr="00E86AB3">
          <w:rPr>
            <w:rStyle w:val="a4"/>
            <w:rFonts w:ascii="Arial" w:hAnsi="Arial" w:cs="Arial"/>
            <w:sz w:val="20"/>
            <w:szCs w:val="20"/>
          </w:rPr>
          <w:t>социальной поддержки</w:t>
        </w:r>
      </w:hyperlink>
      <w:r w:rsidR="00E86AB3">
        <w:rPr>
          <w:rFonts w:ascii="Arial" w:hAnsi="Arial" w:cs="Arial"/>
          <w:sz w:val="20"/>
          <w:szCs w:val="20"/>
        </w:rPr>
        <w:t xml:space="preserve">, </w:t>
      </w:r>
      <w:hyperlink r:id="rId10" w:history="1">
        <w:r w:rsidR="00E86AB3" w:rsidRPr="00E86AB3">
          <w:rPr>
            <w:rStyle w:val="a4"/>
            <w:rFonts w:ascii="Arial" w:hAnsi="Arial" w:cs="Arial"/>
            <w:sz w:val="20"/>
            <w:szCs w:val="20"/>
          </w:rPr>
          <w:t>занятости населения</w:t>
        </w:r>
      </w:hyperlink>
      <w:r w:rsidR="00A40452">
        <w:rPr>
          <w:rFonts w:ascii="Arial" w:hAnsi="Arial" w:cs="Arial"/>
          <w:sz w:val="20"/>
          <w:szCs w:val="20"/>
        </w:rPr>
        <w:t xml:space="preserve"> и другие. </w:t>
      </w:r>
      <w:r w:rsidR="00795907">
        <w:rPr>
          <w:rFonts w:ascii="Arial" w:hAnsi="Arial" w:cs="Arial"/>
          <w:bCs/>
          <w:sz w:val="20"/>
          <w:szCs w:val="20"/>
        </w:rPr>
        <w:t>Следовательно,</w:t>
      </w:r>
      <w:r w:rsidR="00795907" w:rsidRPr="00795907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учитывая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высокую 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372B0C">
        <w:rPr>
          <w:rFonts w:ascii="Arial" w:hAnsi="Arial" w:cs="Arial"/>
          <w:bCs/>
          <w:sz w:val="20"/>
          <w:szCs w:val="20"/>
        </w:rPr>
        <w:t xml:space="preserve">частично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D70DE6">
        <w:rPr>
          <w:rFonts w:ascii="Arial" w:hAnsi="Arial" w:cs="Arial"/>
          <w:bCs/>
          <w:sz w:val="20"/>
          <w:szCs w:val="20"/>
        </w:rPr>
        <w:t>перечисленные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</w:t>
      </w:r>
      <w:r w:rsidR="00F9449D">
        <w:rPr>
          <w:rFonts w:ascii="Arial" w:hAnsi="Arial" w:cs="Arial"/>
          <w:bCs/>
          <w:sz w:val="20"/>
          <w:szCs w:val="20"/>
        </w:rPr>
        <w:t xml:space="preserve">внешние </w:t>
      </w:r>
      <w:r w:rsidR="00D70DE6">
        <w:rPr>
          <w:rFonts w:ascii="Arial" w:hAnsi="Arial" w:cs="Arial"/>
          <w:bCs/>
          <w:sz w:val="20"/>
          <w:szCs w:val="20"/>
        </w:rPr>
        <w:t>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F9449D">
        <w:rPr>
          <w:rFonts w:ascii="Arial" w:hAnsi="Arial" w:cs="Arial"/>
          <w:bCs/>
          <w:sz w:val="20"/>
          <w:szCs w:val="20"/>
        </w:rPr>
        <w:t>октября</w:t>
      </w:r>
      <w:r w:rsidR="00E40778">
        <w:rPr>
          <w:rFonts w:ascii="Arial" w:hAnsi="Arial" w:cs="Arial"/>
          <w:bCs/>
          <w:sz w:val="20"/>
          <w:szCs w:val="20"/>
        </w:rPr>
        <w:t xml:space="preserve"> 2017 года и опережающие темпы роста важнейших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контрол</w:t>
      </w:r>
      <w:r w:rsidR="00F9449D">
        <w:rPr>
          <w:rFonts w:ascii="Arial" w:hAnsi="Arial" w:cs="Arial"/>
          <w:bCs/>
          <w:sz w:val="20"/>
          <w:szCs w:val="20"/>
        </w:rPr>
        <w:t>ь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C031A8">
        <w:rPr>
          <w:rFonts w:ascii="Arial" w:hAnsi="Arial" w:cs="Arial"/>
          <w:bCs/>
          <w:sz w:val="20"/>
          <w:szCs w:val="20"/>
        </w:rPr>
        <w:t xml:space="preserve">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BF62B1">
        <w:rPr>
          <w:rFonts w:ascii="Arial" w:hAnsi="Arial" w:cs="Arial"/>
          <w:bCs/>
          <w:sz w:val="20"/>
          <w:szCs w:val="20"/>
        </w:rPr>
        <w:t>до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>% в течение 2017 года</w:t>
      </w:r>
      <w:r w:rsidR="00D70DE6">
        <w:rPr>
          <w:rFonts w:ascii="Arial" w:hAnsi="Arial" w:cs="Arial"/>
          <w:bCs/>
          <w:sz w:val="20"/>
          <w:szCs w:val="20"/>
        </w:rPr>
        <w:t xml:space="preserve">, а при благоприятной </w:t>
      </w:r>
      <w:r w:rsidR="003927FB">
        <w:rPr>
          <w:rFonts w:ascii="Arial" w:hAnsi="Arial" w:cs="Arial"/>
          <w:bCs/>
          <w:sz w:val="20"/>
          <w:szCs w:val="20"/>
        </w:rPr>
        <w:t xml:space="preserve">внешнеполитической </w:t>
      </w:r>
      <w:r w:rsidR="00D70DE6">
        <w:rPr>
          <w:rFonts w:ascii="Arial" w:hAnsi="Arial" w:cs="Arial"/>
          <w:bCs/>
          <w:sz w:val="20"/>
          <w:szCs w:val="20"/>
        </w:rPr>
        <w:t xml:space="preserve">конъюнктуре </w:t>
      </w:r>
      <w:r w:rsidR="00FA0F43">
        <w:rPr>
          <w:rFonts w:ascii="Arial" w:hAnsi="Arial" w:cs="Arial"/>
          <w:bCs/>
          <w:sz w:val="20"/>
          <w:szCs w:val="20"/>
        </w:rPr>
        <w:t>–</w:t>
      </w:r>
      <w:r w:rsidR="00D70DE6">
        <w:rPr>
          <w:rFonts w:ascii="Arial" w:hAnsi="Arial" w:cs="Arial"/>
          <w:bCs/>
          <w:sz w:val="20"/>
          <w:szCs w:val="20"/>
        </w:rPr>
        <w:t xml:space="preserve"> </w:t>
      </w:r>
      <w:r w:rsidR="003927FB">
        <w:rPr>
          <w:rFonts w:ascii="Arial" w:hAnsi="Arial" w:cs="Arial"/>
          <w:bCs/>
          <w:sz w:val="20"/>
          <w:szCs w:val="20"/>
        </w:rPr>
        <w:t xml:space="preserve">до </w:t>
      </w:r>
      <w:r w:rsidR="00BF62B1">
        <w:rPr>
          <w:rFonts w:ascii="Arial" w:hAnsi="Arial" w:cs="Arial"/>
          <w:bCs/>
          <w:sz w:val="20"/>
          <w:szCs w:val="20"/>
        </w:rPr>
        <w:t>2,5</w:t>
      </w:r>
      <w:r w:rsidR="003927FB">
        <w:rPr>
          <w:rFonts w:ascii="Arial" w:hAnsi="Arial" w:cs="Arial"/>
          <w:bCs/>
          <w:sz w:val="20"/>
          <w:szCs w:val="20"/>
        </w:rPr>
        <w:t xml:space="preserve"> %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хорошие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6C0BD3">
        <w:rPr>
          <w:rFonts w:ascii="Arial" w:hAnsi="Arial" w:cs="Arial"/>
          <w:bCs/>
          <w:sz w:val="20"/>
          <w:szCs w:val="20"/>
        </w:rPr>
        <w:t>Как показала практика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, </w:t>
      </w:r>
      <w:r w:rsidR="00D22060" w:rsidRPr="00205EE4">
        <w:rPr>
          <w:rFonts w:ascii="Arial" w:hAnsi="Arial" w:cs="Arial"/>
          <w:bCs/>
          <w:sz w:val="20"/>
          <w:szCs w:val="20"/>
        </w:rPr>
        <w:t>российские компании и их западные партнеры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При положительной тенденции инвестиционной активности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656B5F">
        <w:rPr>
          <w:rFonts w:ascii="Arial" w:hAnsi="Arial" w:cs="Arial"/>
          <w:bCs/>
          <w:sz w:val="20"/>
          <w:szCs w:val="20"/>
        </w:rPr>
        <w:t xml:space="preserve">рост ВВП до 5–7 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39529A" w:rsidRPr="00CD6630" w:rsidRDefault="004744E8" w:rsidP="004744E8">
      <w:pPr>
        <w:spacing w:before="240" w:after="0" w:line="240" w:lineRule="auto"/>
        <w:ind w:firstLine="426"/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Таким образом, </w:t>
      </w:r>
      <w:r w:rsidR="00A0609A">
        <w:rPr>
          <w:rFonts w:ascii="Arial" w:hAnsi="Arial" w:cs="Arial"/>
          <w:sz w:val="20"/>
          <w:szCs w:val="20"/>
        </w:rPr>
        <w:t>сильное</w:t>
      </w:r>
      <w:r>
        <w:rPr>
          <w:rFonts w:ascii="Arial" w:hAnsi="Arial" w:cs="Arial"/>
          <w:sz w:val="20"/>
          <w:szCs w:val="20"/>
        </w:rPr>
        <w:t xml:space="preserve"> российское государство и стабильная политическая система, стабильная налоговая система, умеренные налоги и льготы для бизнеса и инвестиций стали благоприятной основой для укрепления и устойчивого развития российской экономики</w:t>
      </w:r>
      <w:r w:rsidR="00A0609A">
        <w:rPr>
          <w:rFonts w:ascii="Arial" w:hAnsi="Arial" w:cs="Arial"/>
          <w:sz w:val="20"/>
          <w:szCs w:val="20"/>
        </w:rPr>
        <w:t>, несмотря на сильнейшее внешнее негативное давление США</w:t>
      </w:r>
      <w:r>
        <w:rPr>
          <w:rFonts w:ascii="Arial" w:hAnsi="Arial" w:cs="Arial"/>
          <w:sz w:val="20"/>
          <w:szCs w:val="20"/>
        </w:rPr>
        <w:t xml:space="preserve">. В стабильных условиях экономического роста неизбежно будут расти доходы </w:t>
      </w:r>
      <w:r>
        <w:rPr>
          <w:rFonts w:ascii="Arial" w:hAnsi="Arial" w:cs="Arial"/>
          <w:sz w:val="20"/>
          <w:szCs w:val="20"/>
        </w:rPr>
        <w:lastRenderedPageBreak/>
        <w:t>бизнеса и доходы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кредитования).</w:t>
      </w:r>
    </w:p>
    <w:p w:rsidR="00326148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роль </w:t>
      </w:r>
      <w:r w:rsidR="004202BC">
        <w:rPr>
          <w:rFonts w:ascii="Arial" w:hAnsi="Arial" w:cs="Arial"/>
          <w:sz w:val="20"/>
          <w:szCs w:val="20"/>
        </w:rPr>
        <w:t>для населения,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656B5F">
        <w:rPr>
          <w:rFonts w:ascii="Arial" w:hAnsi="Arial" w:cs="Arial"/>
          <w:sz w:val="20"/>
          <w:szCs w:val="20"/>
        </w:rPr>
        <w:t>а</w:t>
      </w:r>
      <w:r w:rsidR="004202BC">
        <w:rPr>
          <w:rFonts w:ascii="Arial" w:hAnsi="Arial" w:cs="Arial"/>
          <w:sz w:val="20"/>
          <w:szCs w:val="20"/>
        </w:rPr>
        <w:t xml:space="preserve"> и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в целом</w:t>
      </w:r>
      <w:r w:rsidR="00656B5F">
        <w:rPr>
          <w:rFonts w:ascii="Arial" w:hAnsi="Arial" w:cs="Arial"/>
          <w:sz w:val="20"/>
          <w:szCs w:val="20"/>
        </w:rPr>
        <w:t>,</w:t>
      </w:r>
      <w:r w:rsidR="004202BC">
        <w:rPr>
          <w:rFonts w:ascii="Arial" w:hAnsi="Arial" w:cs="Arial"/>
          <w:sz w:val="20"/>
          <w:szCs w:val="20"/>
        </w:rPr>
        <w:t xml:space="preserve">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8D4026">
        <w:rPr>
          <w:rFonts w:ascii="Arial" w:hAnsi="Arial" w:cs="Arial"/>
          <w:sz w:val="20"/>
          <w:szCs w:val="20"/>
        </w:rPr>
        <w:t>определяющее</w:t>
      </w:r>
      <w:r w:rsidR="00FF4926">
        <w:rPr>
          <w:rFonts w:ascii="Arial" w:hAnsi="Arial" w:cs="Arial"/>
          <w:sz w:val="20"/>
          <w:szCs w:val="20"/>
        </w:rPr>
        <w:t xml:space="preserve"> значение для ценности зданий и сооружений име</w:t>
      </w:r>
      <w:r w:rsidR="008D4026">
        <w:rPr>
          <w:rFonts w:ascii="Arial" w:hAnsi="Arial" w:cs="Arial"/>
          <w:sz w:val="20"/>
          <w:szCs w:val="20"/>
        </w:rPr>
        <w:t>ю</w:t>
      </w:r>
      <w:r w:rsidR="00FF4926">
        <w:rPr>
          <w:rFonts w:ascii="Arial" w:hAnsi="Arial" w:cs="Arial"/>
          <w:sz w:val="20"/>
          <w:szCs w:val="20"/>
        </w:rPr>
        <w:t xml:space="preserve">т </w:t>
      </w:r>
      <w:r w:rsidR="008D4026">
        <w:rPr>
          <w:rFonts w:ascii="Arial" w:hAnsi="Arial" w:cs="Arial"/>
          <w:sz w:val="20"/>
          <w:szCs w:val="20"/>
        </w:rPr>
        <w:t>местоположение</w:t>
      </w:r>
      <w:r w:rsidR="007D55E6">
        <w:rPr>
          <w:rFonts w:ascii="Arial" w:hAnsi="Arial" w:cs="Arial"/>
          <w:sz w:val="20"/>
          <w:szCs w:val="20"/>
        </w:rPr>
        <w:t>, окружение</w:t>
      </w:r>
      <w:r w:rsidR="008D4026">
        <w:rPr>
          <w:rFonts w:ascii="Arial" w:hAnsi="Arial" w:cs="Arial"/>
          <w:sz w:val="20"/>
          <w:szCs w:val="20"/>
        </w:rPr>
        <w:t xml:space="preserve"> и </w:t>
      </w:r>
      <w:r w:rsidR="00FF4926">
        <w:rPr>
          <w:rFonts w:ascii="Arial" w:hAnsi="Arial" w:cs="Arial"/>
          <w:sz w:val="20"/>
          <w:szCs w:val="20"/>
        </w:rPr>
        <w:t>качественное состояние</w:t>
      </w:r>
      <w:r w:rsidR="00092E78">
        <w:rPr>
          <w:rFonts w:ascii="Arial" w:hAnsi="Arial" w:cs="Arial"/>
          <w:sz w:val="20"/>
          <w:szCs w:val="20"/>
        </w:rPr>
        <w:t xml:space="preserve"> постройки.</w:t>
      </w:r>
      <w:r w:rsidR="008D4026">
        <w:rPr>
          <w:rFonts w:ascii="Arial" w:hAnsi="Arial" w:cs="Arial"/>
          <w:sz w:val="20"/>
          <w:szCs w:val="20"/>
        </w:rPr>
        <w:t xml:space="preserve"> </w:t>
      </w:r>
      <w:r w:rsidR="003A4F3A">
        <w:rPr>
          <w:rFonts w:ascii="Arial" w:hAnsi="Arial" w:cs="Arial"/>
          <w:sz w:val="20"/>
          <w:szCs w:val="20"/>
        </w:rPr>
        <w:t xml:space="preserve">Качественные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743E94" w:rsidRDefault="00326148" w:rsidP="0032614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743E94">
        <w:rPr>
          <w:rFonts w:ascii="Arial" w:hAnsi="Arial" w:cs="Arial"/>
          <w:sz w:val="20"/>
          <w:szCs w:val="20"/>
        </w:rPr>
        <w:t xml:space="preserve">2015 – 2016 гг. </w:t>
      </w:r>
      <w:r>
        <w:rPr>
          <w:rFonts w:ascii="Arial" w:hAnsi="Arial" w:cs="Arial"/>
          <w:sz w:val="20"/>
          <w:szCs w:val="20"/>
        </w:rPr>
        <w:t>оздоровила рынок и сегодня</w:t>
      </w:r>
      <w:r w:rsidR="00777D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у </w:t>
      </w:r>
      <w:r w:rsidR="00777D84">
        <w:rPr>
          <w:rFonts w:ascii="Arial" w:hAnsi="Arial" w:cs="Arial"/>
          <w:sz w:val="20"/>
          <w:szCs w:val="20"/>
        </w:rPr>
        <w:t xml:space="preserve">российского рынка </w:t>
      </w:r>
      <w:r w:rsidR="00743E94">
        <w:rPr>
          <w:rFonts w:ascii="Arial" w:hAnsi="Arial" w:cs="Arial"/>
          <w:sz w:val="20"/>
          <w:szCs w:val="20"/>
        </w:rPr>
        <w:t xml:space="preserve"> огромный потенциал роста:</w:t>
      </w:r>
      <w:r w:rsidR="00777D84">
        <w:rPr>
          <w:rFonts w:ascii="Arial" w:hAnsi="Arial" w:cs="Arial"/>
          <w:sz w:val="20"/>
          <w:szCs w:val="20"/>
        </w:rPr>
        <w:t xml:space="preserve"> </w:t>
      </w:r>
    </w:p>
    <w:p w:rsidR="00743E94" w:rsidRPr="00326148" w:rsidRDefault="00823DFC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hyperlink r:id="rId11" w:history="1">
        <w:r w:rsidR="00743E94" w:rsidRPr="00743E94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743E94" w:rsidRPr="00743E94">
        <w:rPr>
          <w:rFonts w:ascii="Arial" w:hAnsi="Arial" w:cs="Arial"/>
          <w:sz w:val="20"/>
          <w:szCs w:val="20"/>
        </w:rPr>
        <w:t xml:space="preserve"> в 2014 году лишь 6,2 % опрошенных лиц были не удовлетворены своими жилищными условиями по сравнению с 15,2 % в 2005 году. Снижение интереса объяснимо повышением затрат на содержание жилья и снижением реальных доходов населения. В таких условиях спросом пользуются в основном качественные объекты эконом-класса, а также объекты в перспективных развивающихся районах. В общих объёмах продаж по-прежнему высока доля спекулятивной составляющей. Тот, у кого есть свободные деньги, смело приобретает перспективную недвижимость с целью перепродажи в будущем или в рентных целях. </w:t>
      </w:r>
      <w:r w:rsidR="00326148">
        <w:rPr>
          <w:rFonts w:ascii="Arial" w:hAnsi="Arial" w:cs="Arial"/>
          <w:sz w:val="20"/>
          <w:szCs w:val="20"/>
        </w:rPr>
        <w:t xml:space="preserve">По мере стабилизации и общеэкономического роста в рост пойдут и другие сегменты рынка жилья. </w:t>
      </w:r>
      <w:r w:rsidR="006A1F86" w:rsidRPr="00326148">
        <w:rPr>
          <w:rFonts w:ascii="Arial" w:hAnsi="Arial" w:cs="Arial"/>
          <w:sz w:val="20"/>
          <w:szCs w:val="20"/>
        </w:rPr>
        <w:t xml:space="preserve">Вероятно, </w:t>
      </w:r>
      <w:r w:rsidR="00ED2405" w:rsidRPr="00326148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="006A1F86"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240CEE">
        <w:rPr>
          <w:rFonts w:ascii="Arial" w:hAnsi="Arial" w:cs="Arial"/>
          <w:b/>
          <w:sz w:val="20"/>
          <w:szCs w:val="20"/>
        </w:rPr>
        <w:t xml:space="preserve">обеспеченность </w:t>
      </w:r>
      <w:r w:rsidR="002F7B54" w:rsidRPr="00240CEE">
        <w:rPr>
          <w:rFonts w:ascii="Arial" w:hAnsi="Arial" w:cs="Arial"/>
          <w:b/>
          <w:sz w:val="20"/>
          <w:szCs w:val="20"/>
        </w:rPr>
        <w:t xml:space="preserve">жильём </w:t>
      </w:r>
      <w:r w:rsidR="000351BE" w:rsidRPr="00240CEE">
        <w:rPr>
          <w:rFonts w:ascii="Arial" w:hAnsi="Arial" w:cs="Arial"/>
          <w:b/>
          <w:sz w:val="20"/>
          <w:szCs w:val="20"/>
        </w:rPr>
        <w:t xml:space="preserve">на душу населения у нас </w:t>
      </w:r>
      <w:r w:rsidR="00BF72CD" w:rsidRPr="00240CEE">
        <w:rPr>
          <w:rFonts w:ascii="Arial" w:hAnsi="Arial" w:cs="Arial"/>
          <w:b/>
          <w:sz w:val="20"/>
          <w:szCs w:val="20"/>
        </w:rPr>
        <w:t>в перспективе</w:t>
      </w:r>
      <w:r w:rsidR="000351BE" w:rsidRPr="00240CEE">
        <w:rPr>
          <w:rFonts w:ascii="Arial" w:hAnsi="Arial" w:cs="Arial"/>
          <w:b/>
          <w:sz w:val="20"/>
          <w:szCs w:val="20"/>
        </w:rPr>
        <w:t xml:space="preserve"> стремиться к 40 кв.м./чел.</w:t>
      </w:r>
      <w:r w:rsidR="000351BE" w:rsidRPr="00326148">
        <w:rPr>
          <w:rFonts w:ascii="Arial" w:hAnsi="Arial" w:cs="Arial"/>
          <w:sz w:val="20"/>
          <w:szCs w:val="20"/>
        </w:rPr>
        <w:t xml:space="preserve"> (сейчас у нас 24,4 кв.м./чел.), </w:t>
      </w:r>
      <w:r w:rsidR="000351BE" w:rsidRPr="00240CEE">
        <w:rPr>
          <w:rFonts w:ascii="Arial" w:hAnsi="Arial" w:cs="Arial"/>
          <w:b/>
          <w:sz w:val="20"/>
          <w:szCs w:val="20"/>
        </w:rPr>
        <w:t xml:space="preserve">а доля съёмного жилья </w:t>
      </w:r>
      <w:r w:rsidR="00D80EA0" w:rsidRPr="00240CEE">
        <w:rPr>
          <w:rFonts w:ascii="Arial" w:hAnsi="Arial" w:cs="Arial"/>
          <w:b/>
          <w:sz w:val="20"/>
          <w:szCs w:val="20"/>
        </w:rPr>
        <w:t xml:space="preserve">– к </w:t>
      </w:r>
      <w:r w:rsidR="000351BE" w:rsidRPr="00240CEE">
        <w:rPr>
          <w:rFonts w:ascii="Arial" w:hAnsi="Arial" w:cs="Arial"/>
          <w:b/>
          <w:sz w:val="20"/>
          <w:szCs w:val="20"/>
        </w:rPr>
        <w:t xml:space="preserve"> 30 </w:t>
      </w:r>
      <w:r w:rsidR="00D80EA0" w:rsidRPr="00240CEE">
        <w:rPr>
          <w:rFonts w:ascii="Arial" w:hAnsi="Arial" w:cs="Arial"/>
          <w:b/>
          <w:sz w:val="20"/>
          <w:szCs w:val="20"/>
        </w:rPr>
        <w:t>%</w:t>
      </w:r>
      <w:r w:rsidR="000351BE" w:rsidRPr="00240CEE">
        <w:rPr>
          <w:rFonts w:ascii="Arial" w:hAnsi="Arial" w:cs="Arial"/>
          <w:b/>
          <w:sz w:val="20"/>
          <w:szCs w:val="20"/>
        </w:rPr>
        <w:t xml:space="preserve"> 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и более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="006A1F86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="006A1F86" w:rsidRPr="00326148">
        <w:rPr>
          <w:rFonts w:ascii="Arial" w:hAnsi="Arial" w:cs="Arial"/>
          <w:sz w:val="20"/>
          <w:szCs w:val="20"/>
        </w:rPr>
        <w:t>Для сравнения</w:t>
      </w:r>
      <w:r w:rsidR="00D80EA0" w:rsidRPr="00326148">
        <w:rPr>
          <w:rFonts w:ascii="Arial" w:hAnsi="Arial" w:cs="Arial"/>
          <w:sz w:val="20"/>
          <w:szCs w:val="20"/>
        </w:rPr>
        <w:t xml:space="preserve">, </w:t>
      </w:r>
      <w:r w:rsidR="00D166FA" w:rsidRPr="00326148">
        <w:rPr>
          <w:rFonts w:ascii="Arial" w:hAnsi="Arial" w:cs="Arial"/>
          <w:sz w:val="20"/>
          <w:szCs w:val="20"/>
        </w:rPr>
        <w:t>по данным на 2015 год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6A1F86" w:rsidRPr="00326148">
        <w:rPr>
          <w:rFonts w:ascii="Arial" w:hAnsi="Arial" w:cs="Arial"/>
          <w:sz w:val="20"/>
          <w:szCs w:val="20"/>
        </w:rPr>
        <w:t xml:space="preserve">эти показатели </w:t>
      </w:r>
      <w:r w:rsidR="004A2649" w:rsidRPr="00326148">
        <w:rPr>
          <w:rFonts w:ascii="Arial" w:hAnsi="Arial" w:cs="Arial"/>
          <w:sz w:val="20"/>
          <w:szCs w:val="20"/>
        </w:rPr>
        <w:t>(соответственно)</w:t>
      </w:r>
      <w:r w:rsidR="00D166FA" w:rsidRPr="00326148">
        <w:rPr>
          <w:rFonts w:ascii="Arial" w:hAnsi="Arial" w:cs="Arial"/>
          <w:sz w:val="20"/>
          <w:szCs w:val="20"/>
        </w:rPr>
        <w:t>:</w:t>
      </w:r>
      <w:r w:rsidR="004A2649" w:rsidRPr="00326148">
        <w:rPr>
          <w:rFonts w:ascii="Arial" w:hAnsi="Arial" w:cs="Arial"/>
          <w:sz w:val="20"/>
          <w:szCs w:val="20"/>
        </w:rPr>
        <w:t xml:space="preserve"> </w:t>
      </w:r>
      <w:r w:rsidR="00D80EA0" w:rsidRPr="00326148">
        <w:rPr>
          <w:rFonts w:ascii="Arial" w:hAnsi="Arial" w:cs="Arial"/>
          <w:sz w:val="20"/>
          <w:szCs w:val="20"/>
        </w:rPr>
        <w:t>в Германии</w:t>
      </w:r>
      <w:r w:rsidR="00CA7882" w:rsidRPr="00326148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 w:rsidRPr="00326148">
        <w:rPr>
          <w:rFonts w:ascii="Arial" w:hAnsi="Arial" w:cs="Arial"/>
          <w:sz w:val="20"/>
          <w:szCs w:val="20"/>
        </w:rPr>
        <w:t>42,9</w:t>
      </w:r>
      <w:r w:rsidR="00CA7882" w:rsidRPr="00326148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 w:rsidRPr="00326148">
        <w:rPr>
          <w:rFonts w:ascii="Arial" w:hAnsi="Arial" w:cs="Arial"/>
          <w:sz w:val="20"/>
          <w:szCs w:val="20"/>
        </w:rPr>
        <w:t>4</w:t>
      </w:r>
      <w:r w:rsidR="00975559" w:rsidRPr="00326148">
        <w:rPr>
          <w:rFonts w:ascii="Arial" w:hAnsi="Arial" w:cs="Arial"/>
          <w:sz w:val="20"/>
          <w:szCs w:val="20"/>
        </w:rPr>
        <w:t>6,6</w:t>
      </w:r>
      <w:r w:rsidR="00363A9A" w:rsidRPr="00326148">
        <w:rPr>
          <w:rFonts w:ascii="Arial" w:hAnsi="Arial" w:cs="Arial"/>
          <w:sz w:val="20"/>
          <w:szCs w:val="20"/>
        </w:rPr>
        <w:t xml:space="preserve"> %,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363A9A" w:rsidRPr="00326148">
        <w:rPr>
          <w:rFonts w:ascii="Arial" w:hAnsi="Arial" w:cs="Arial"/>
          <w:sz w:val="20"/>
          <w:szCs w:val="20"/>
        </w:rPr>
        <w:t xml:space="preserve">Финляндии </w:t>
      </w:r>
      <w:r w:rsidR="00547D1B" w:rsidRPr="00326148">
        <w:rPr>
          <w:rFonts w:ascii="Arial" w:hAnsi="Arial" w:cs="Arial"/>
          <w:sz w:val="20"/>
          <w:szCs w:val="20"/>
        </w:rPr>
        <w:t>25,7 кв.м./чел. и 41,8</w:t>
      </w:r>
      <w:r w:rsidR="00D166FA" w:rsidRPr="00326148">
        <w:rPr>
          <w:rFonts w:ascii="Arial" w:hAnsi="Arial" w:cs="Arial"/>
          <w:sz w:val="20"/>
          <w:szCs w:val="20"/>
        </w:rPr>
        <w:t xml:space="preserve"> % (на 2000 г.), </w:t>
      </w:r>
      <w:r w:rsidR="004A2649" w:rsidRPr="00326148">
        <w:rPr>
          <w:rFonts w:ascii="Arial" w:hAnsi="Arial" w:cs="Arial"/>
          <w:sz w:val="20"/>
          <w:szCs w:val="20"/>
        </w:rPr>
        <w:t xml:space="preserve">в </w:t>
      </w:r>
      <w:r w:rsidR="00DA6F82" w:rsidRPr="00326148">
        <w:rPr>
          <w:rFonts w:ascii="Arial" w:hAnsi="Arial" w:cs="Arial"/>
          <w:sz w:val="20"/>
          <w:szCs w:val="20"/>
        </w:rPr>
        <w:t>Швеци</w:t>
      </w:r>
      <w:r w:rsidR="004A2649" w:rsidRPr="00326148">
        <w:rPr>
          <w:rFonts w:ascii="Arial" w:hAnsi="Arial" w:cs="Arial"/>
          <w:sz w:val="20"/>
          <w:szCs w:val="20"/>
        </w:rPr>
        <w:t>и -</w:t>
      </w:r>
      <w:r w:rsidR="00DA6F82" w:rsidRPr="00326148">
        <w:rPr>
          <w:rFonts w:ascii="Arial" w:hAnsi="Arial" w:cs="Arial"/>
          <w:sz w:val="20"/>
          <w:szCs w:val="20"/>
        </w:rPr>
        <w:t xml:space="preserve">  </w:t>
      </w:r>
      <w:r w:rsidR="00D80EA0" w:rsidRPr="00326148">
        <w:rPr>
          <w:rFonts w:ascii="Arial" w:hAnsi="Arial" w:cs="Arial"/>
          <w:sz w:val="20"/>
          <w:szCs w:val="20"/>
        </w:rPr>
        <w:t>45,2 кв.м./чел</w:t>
      </w:r>
      <w:r w:rsidR="00DA6F82" w:rsidRPr="00326148">
        <w:rPr>
          <w:rFonts w:ascii="Arial" w:hAnsi="Arial" w:cs="Arial"/>
          <w:sz w:val="20"/>
          <w:szCs w:val="20"/>
        </w:rPr>
        <w:t xml:space="preserve"> </w:t>
      </w:r>
      <w:r w:rsidR="004A2649" w:rsidRPr="00326148">
        <w:rPr>
          <w:rFonts w:ascii="Arial" w:hAnsi="Arial" w:cs="Arial"/>
          <w:sz w:val="20"/>
          <w:szCs w:val="20"/>
        </w:rPr>
        <w:t xml:space="preserve">и </w:t>
      </w:r>
      <w:r w:rsidR="00D166FA" w:rsidRPr="00326148">
        <w:rPr>
          <w:rFonts w:ascii="Arial" w:hAnsi="Arial" w:cs="Arial"/>
          <w:sz w:val="20"/>
          <w:szCs w:val="20"/>
        </w:rPr>
        <w:t>30,4</w:t>
      </w:r>
      <w:r w:rsidR="00DA6F82" w:rsidRPr="00326148">
        <w:rPr>
          <w:rFonts w:ascii="Arial" w:hAnsi="Arial" w:cs="Arial"/>
          <w:sz w:val="20"/>
          <w:szCs w:val="20"/>
        </w:rPr>
        <w:t xml:space="preserve"> %</w:t>
      </w:r>
      <w:r w:rsidR="00D166FA" w:rsidRPr="00326148">
        <w:rPr>
          <w:rFonts w:ascii="Arial" w:hAnsi="Arial" w:cs="Arial"/>
          <w:sz w:val="20"/>
          <w:szCs w:val="20"/>
        </w:rPr>
        <w:t>, в Великобритани</w:t>
      </w:r>
      <w:r w:rsidR="006800E9" w:rsidRPr="00326148">
        <w:rPr>
          <w:rFonts w:ascii="Arial" w:hAnsi="Arial" w:cs="Arial"/>
          <w:sz w:val="20"/>
          <w:szCs w:val="20"/>
        </w:rPr>
        <w:t>и – 44 кв.м./чел. и 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CA7882" w:rsidRPr="00BD25DA" w:rsidRDefault="00BD25DA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>По мере роста экономики восстан</w:t>
      </w:r>
      <w:r>
        <w:rPr>
          <w:rFonts w:ascii="Arial" w:hAnsi="Arial" w:cs="Arial"/>
          <w:sz w:val="20"/>
          <w:szCs w:val="20"/>
        </w:rPr>
        <w:t xml:space="preserve">авливается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>
        <w:rPr>
          <w:rFonts w:ascii="Arial" w:hAnsi="Arial" w:cs="Arial"/>
          <w:sz w:val="20"/>
          <w:szCs w:val="20"/>
        </w:rPr>
        <w:t xml:space="preserve">В дальнейшем </w:t>
      </w:r>
      <w:r w:rsidRPr="00240CEE">
        <w:rPr>
          <w:rFonts w:ascii="Arial" w:hAnsi="Arial" w:cs="Arial"/>
          <w:b/>
          <w:sz w:val="20"/>
          <w:szCs w:val="20"/>
        </w:rPr>
        <w:t>б</w:t>
      </w:r>
      <w:r w:rsidR="003F66AF" w:rsidRPr="00240CEE">
        <w:rPr>
          <w:rFonts w:ascii="Arial" w:hAnsi="Arial" w:cs="Arial"/>
          <w:b/>
          <w:sz w:val="20"/>
          <w:szCs w:val="20"/>
        </w:rPr>
        <w:t>удет возрастать</w:t>
      </w:r>
      <w:r w:rsidR="005A4413" w:rsidRPr="00240CEE">
        <w:rPr>
          <w:rFonts w:ascii="Arial" w:hAnsi="Arial" w:cs="Arial"/>
          <w:b/>
          <w:sz w:val="20"/>
          <w:szCs w:val="20"/>
        </w:rPr>
        <w:t xml:space="preserve"> </w:t>
      </w:r>
      <w:r w:rsidR="002E00CC" w:rsidRPr="00240CEE">
        <w:rPr>
          <w:rFonts w:ascii="Arial" w:hAnsi="Arial" w:cs="Arial"/>
          <w:b/>
          <w:sz w:val="20"/>
          <w:szCs w:val="20"/>
        </w:rPr>
        <w:t xml:space="preserve">потребность в качественной недвижимости </w:t>
      </w:r>
      <w:r w:rsidR="005A4413" w:rsidRPr="00240CEE">
        <w:rPr>
          <w:rFonts w:ascii="Arial" w:hAnsi="Arial" w:cs="Arial"/>
          <w:b/>
          <w:sz w:val="20"/>
          <w:szCs w:val="20"/>
        </w:rPr>
        <w:t>коммерческого назначения</w:t>
      </w:r>
      <w:r w:rsidR="003F66AF" w:rsidRPr="00240CEE">
        <w:rPr>
          <w:rFonts w:ascii="Arial" w:hAnsi="Arial" w:cs="Arial"/>
          <w:b/>
          <w:sz w:val="20"/>
          <w:szCs w:val="20"/>
        </w:rPr>
        <w:t xml:space="preserve">: </w:t>
      </w:r>
      <w:r w:rsidR="00743E94" w:rsidRPr="00240CEE">
        <w:rPr>
          <w:rFonts w:ascii="Arial" w:hAnsi="Arial" w:cs="Arial"/>
          <w:b/>
          <w:sz w:val="20"/>
          <w:szCs w:val="20"/>
        </w:rPr>
        <w:t xml:space="preserve">в </w:t>
      </w:r>
      <w:r w:rsidR="0014410F" w:rsidRPr="00240CEE">
        <w:rPr>
          <w:rFonts w:ascii="Arial" w:hAnsi="Arial" w:cs="Arial"/>
          <w:b/>
          <w:sz w:val="20"/>
          <w:szCs w:val="20"/>
        </w:rPr>
        <w:t xml:space="preserve">энергоэффективных </w:t>
      </w:r>
      <w:r w:rsidR="003F66AF" w:rsidRPr="00240CEE">
        <w:rPr>
          <w:rFonts w:ascii="Arial" w:hAnsi="Arial" w:cs="Arial"/>
          <w:b/>
          <w:sz w:val="20"/>
          <w:szCs w:val="20"/>
        </w:rPr>
        <w:t>производственных, складских, офисных</w:t>
      </w:r>
      <w:r w:rsidR="00240CEE">
        <w:rPr>
          <w:rFonts w:ascii="Arial" w:hAnsi="Arial" w:cs="Arial"/>
          <w:b/>
          <w:sz w:val="20"/>
          <w:szCs w:val="20"/>
        </w:rPr>
        <w:t xml:space="preserve"> и</w:t>
      </w:r>
      <w:r w:rsidR="003F66AF" w:rsidRPr="00240CEE">
        <w:rPr>
          <w:rFonts w:ascii="Arial" w:hAnsi="Arial" w:cs="Arial"/>
          <w:b/>
          <w:sz w:val="20"/>
          <w:szCs w:val="20"/>
        </w:rPr>
        <w:t xml:space="preserve"> торговых</w:t>
      </w:r>
      <w:r w:rsidR="005A4413" w:rsidRPr="00240CEE">
        <w:rPr>
          <w:rFonts w:ascii="Arial" w:hAnsi="Arial" w:cs="Arial"/>
          <w:b/>
          <w:sz w:val="20"/>
          <w:szCs w:val="20"/>
        </w:rPr>
        <w:t xml:space="preserve"> </w:t>
      </w:r>
      <w:r w:rsidR="0014410F" w:rsidRPr="00240CEE">
        <w:rPr>
          <w:rFonts w:ascii="Arial" w:hAnsi="Arial" w:cs="Arial"/>
          <w:b/>
          <w:sz w:val="20"/>
          <w:szCs w:val="20"/>
        </w:rPr>
        <w:t>зданиях</w:t>
      </w:r>
      <w:r w:rsidR="00240CEE">
        <w:rPr>
          <w:rFonts w:ascii="Arial" w:hAnsi="Arial" w:cs="Arial"/>
          <w:b/>
          <w:sz w:val="20"/>
          <w:szCs w:val="20"/>
        </w:rPr>
        <w:t xml:space="preserve"> новых форм</w:t>
      </w:r>
      <w:r w:rsidR="00823DFC">
        <w:rPr>
          <w:rFonts w:ascii="Arial" w:hAnsi="Arial" w:cs="Arial"/>
          <w:b/>
          <w:sz w:val="20"/>
          <w:szCs w:val="20"/>
        </w:rPr>
        <w:t>а</w:t>
      </w:r>
      <w:r w:rsidR="00240CEE">
        <w:rPr>
          <w:rFonts w:ascii="Arial" w:hAnsi="Arial" w:cs="Arial"/>
          <w:b/>
          <w:sz w:val="20"/>
          <w:szCs w:val="20"/>
        </w:rPr>
        <w:t>тов</w:t>
      </w:r>
      <w:r w:rsidR="003F66AF" w:rsidRPr="00743E94">
        <w:rPr>
          <w:rFonts w:ascii="Arial" w:hAnsi="Arial" w:cs="Arial"/>
          <w:sz w:val="20"/>
          <w:szCs w:val="20"/>
        </w:rPr>
        <w:t xml:space="preserve">.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>коммерческих объектов 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 </w:t>
      </w:r>
      <w:hyperlink r:id="rId12" w:history="1">
        <w:r w:rsidR="005A4413" w:rsidRPr="00743E94">
          <w:rPr>
            <w:rStyle w:val="a4"/>
            <w:rFonts w:ascii="Arial" w:hAnsi="Arial" w:cs="Arial"/>
            <w:sz w:val="20"/>
            <w:szCs w:val="20"/>
          </w:rPr>
          <w:t>на конец 2010 года</w:t>
        </w:r>
      </w:hyperlink>
      <w:r w:rsidR="005A4413" w:rsidRPr="00743E94">
        <w:rPr>
          <w:rFonts w:ascii="Arial" w:hAnsi="Arial" w:cs="Arial"/>
          <w:sz w:val="20"/>
          <w:szCs w:val="20"/>
        </w:rPr>
        <w:t xml:space="preserve"> составила 29,1 %.</w:t>
      </w:r>
      <w:r w:rsidR="007024B7" w:rsidRPr="00743E94">
        <w:rPr>
          <w:rFonts w:ascii="Arial" w:hAnsi="Arial" w:cs="Arial"/>
          <w:sz w:val="20"/>
          <w:szCs w:val="20"/>
        </w:rPr>
        <w:t xml:space="preserve"> Полный реальный износ значительно выше.</w:t>
      </w:r>
      <w:r w:rsidR="00600392" w:rsidRPr="00743E94">
        <w:rPr>
          <w:rFonts w:ascii="Arial" w:hAnsi="Arial" w:cs="Arial"/>
          <w:sz w:val="20"/>
          <w:szCs w:val="20"/>
        </w:rPr>
        <w:t xml:space="preserve"> </w:t>
      </w:r>
    </w:p>
    <w:p w:rsidR="0039529A" w:rsidRDefault="0039529A" w:rsidP="003F5F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A1F86" w:rsidRPr="006218A3" w:rsidRDefault="006A1F86" w:rsidP="006A1F8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6A1F86" w:rsidRP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Централ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ьный банк Российской Федерации </w:t>
      </w:r>
      <w:hyperlink r:id="rId13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http://www.cbr.ru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6A1F86" w:rsidRPr="00CB7269" w:rsidRDefault="00823DFC" w:rsidP="00CB726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hyperlink r:id="rId14" w:history="1"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="00BC39E3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>,</w:t>
      </w:r>
      <w:r w:rsidR="006A1F86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hyperlink r:id="rId15" w:history="1">
        <w:r w:rsidR="00CB7269" w:rsidRPr="00540F29">
          <w:rPr>
            <w:rStyle w:val="a4"/>
            <w:rFonts w:ascii="Arial" w:hAnsi="Arial" w:cs="Arial"/>
            <w:bCs/>
            <w:sz w:val="20"/>
            <w:szCs w:val="20"/>
          </w:rPr>
          <w:t>http://www.cbr.ru/statistics/?PrtId=pdko_sub</w:t>
        </w:r>
      </w:hyperlink>
      <w:r w:rsidR="00CB7269">
        <w:rPr>
          <w:rFonts w:ascii="Arial" w:hAnsi="Arial" w:cs="Arial"/>
          <w:bCs/>
          <w:sz w:val="20"/>
          <w:szCs w:val="20"/>
        </w:rPr>
        <w:t>.</w:t>
      </w:r>
      <w:r w:rsidR="00F037D7">
        <w:rPr>
          <w:rFonts w:ascii="Arial" w:hAnsi="Arial" w:cs="Arial"/>
          <w:bCs/>
          <w:sz w:val="20"/>
          <w:szCs w:val="20"/>
        </w:rPr>
        <w:t xml:space="preserve"> </w:t>
      </w:r>
      <w:hyperlink r:id="rId16" w:history="1">
        <w:r w:rsidR="00F037D7" w:rsidRPr="00F152BC">
          <w:rPr>
            <w:rStyle w:val="a4"/>
            <w:rFonts w:ascii="Arial" w:hAnsi="Arial" w:cs="Arial"/>
            <w:bCs/>
            <w:sz w:val="20"/>
            <w:szCs w:val="20"/>
          </w:rPr>
          <w:t>http://www.cbr.ru/statistics/print.aspx?file=bank_system/4-3-1_17.htm&amp;pid=pdko_sub&amp;sid=dopk</w:t>
        </w:r>
      </w:hyperlink>
      <w:r w:rsidR="00F037D7">
        <w:rPr>
          <w:rFonts w:ascii="Arial" w:hAnsi="Arial" w:cs="Arial"/>
          <w:bCs/>
          <w:sz w:val="20"/>
          <w:szCs w:val="20"/>
        </w:rPr>
        <w:t xml:space="preserve"> </w:t>
      </w:r>
    </w:p>
    <w:p w:rsidR="00204906" w:rsidRPr="006C00DE" w:rsidRDefault="006A1F86" w:rsidP="006C00D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Федеральная слу</w:t>
      </w:r>
      <w:r w:rsidR="00836546"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жба государственной 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статистики </w:t>
      </w:r>
      <w:hyperlink r:id="rId17" w:history="1">
        <w:r w:rsidRPr="006A1F8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6A1F86">
          <w:rPr>
            <w:rStyle w:val="a4"/>
            <w:rFonts w:ascii="Arial" w:hAnsi="Arial" w:cs="Arial"/>
            <w:sz w:val="20"/>
            <w:szCs w:val="20"/>
          </w:rPr>
          <w:t>.gks.ru</w:t>
        </w:r>
      </w:hyperlink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 w:rsidR="00E14242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0</w:t>
      </w:r>
      <w:r w:rsidR="00240CEE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4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</w:t>
      </w:r>
      <w:r w:rsidR="00240CEE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10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полностью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2C756A" w:rsidRPr="001B2134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18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 w:rsidR="001B2134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sectPr w:rsidR="002C756A" w:rsidRPr="001B2134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2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3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7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3870"/>
    <w:rsid w:val="00007EEC"/>
    <w:rsid w:val="00013559"/>
    <w:rsid w:val="000141E7"/>
    <w:rsid w:val="00016735"/>
    <w:rsid w:val="00026385"/>
    <w:rsid w:val="000351BE"/>
    <w:rsid w:val="000366C6"/>
    <w:rsid w:val="000403A4"/>
    <w:rsid w:val="00040C4B"/>
    <w:rsid w:val="000417AD"/>
    <w:rsid w:val="00047DF5"/>
    <w:rsid w:val="00053B35"/>
    <w:rsid w:val="00053CEB"/>
    <w:rsid w:val="00056BB8"/>
    <w:rsid w:val="00057054"/>
    <w:rsid w:val="00065CD7"/>
    <w:rsid w:val="00067A3B"/>
    <w:rsid w:val="00073F35"/>
    <w:rsid w:val="00080BB3"/>
    <w:rsid w:val="0009013F"/>
    <w:rsid w:val="000911DA"/>
    <w:rsid w:val="00092E78"/>
    <w:rsid w:val="000B206B"/>
    <w:rsid w:val="000C2942"/>
    <w:rsid w:val="000C4C2C"/>
    <w:rsid w:val="000C5DE8"/>
    <w:rsid w:val="000D1D84"/>
    <w:rsid w:val="000D22DA"/>
    <w:rsid w:val="000E0D02"/>
    <w:rsid w:val="000E5AD4"/>
    <w:rsid w:val="00100CF7"/>
    <w:rsid w:val="00104E36"/>
    <w:rsid w:val="001060BB"/>
    <w:rsid w:val="001104DC"/>
    <w:rsid w:val="001153E0"/>
    <w:rsid w:val="00130051"/>
    <w:rsid w:val="001301A5"/>
    <w:rsid w:val="00140160"/>
    <w:rsid w:val="00140EA7"/>
    <w:rsid w:val="0014410F"/>
    <w:rsid w:val="00152689"/>
    <w:rsid w:val="001544DF"/>
    <w:rsid w:val="0017157D"/>
    <w:rsid w:val="00177CD7"/>
    <w:rsid w:val="0018419B"/>
    <w:rsid w:val="00191CD5"/>
    <w:rsid w:val="00194A92"/>
    <w:rsid w:val="001A5AC0"/>
    <w:rsid w:val="001B2134"/>
    <w:rsid w:val="001B6969"/>
    <w:rsid w:val="001B6BE6"/>
    <w:rsid w:val="001B7090"/>
    <w:rsid w:val="001B7879"/>
    <w:rsid w:val="001B7B54"/>
    <w:rsid w:val="001C4460"/>
    <w:rsid w:val="001C57AD"/>
    <w:rsid w:val="001C6768"/>
    <w:rsid w:val="001D03C3"/>
    <w:rsid w:val="001E24C2"/>
    <w:rsid w:val="001F0C1B"/>
    <w:rsid w:val="001F29BD"/>
    <w:rsid w:val="001F539F"/>
    <w:rsid w:val="00204906"/>
    <w:rsid w:val="00205EE4"/>
    <w:rsid w:val="002123B8"/>
    <w:rsid w:val="00216DF5"/>
    <w:rsid w:val="00217061"/>
    <w:rsid w:val="00220BA3"/>
    <w:rsid w:val="00240CEE"/>
    <w:rsid w:val="0024106C"/>
    <w:rsid w:val="00243176"/>
    <w:rsid w:val="002505FC"/>
    <w:rsid w:val="00252E12"/>
    <w:rsid w:val="00256DA7"/>
    <w:rsid w:val="0026024C"/>
    <w:rsid w:val="0027040A"/>
    <w:rsid w:val="00271F89"/>
    <w:rsid w:val="002778C3"/>
    <w:rsid w:val="00293044"/>
    <w:rsid w:val="00293664"/>
    <w:rsid w:val="002A1D5D"/>
    <w:rsid w:val="002A6ABE"/>
    <w:rsid w:val="002B0A96"/>
    <w:rsid w:val="002B0CDD"/>
    <w:rsid w:val="002B277A"/>
    <w:rsid w:val="002B6E1E"/>
    <w:rsid w:val="002C49DB"/>
    <w:rsid w:val="002C756A"/>
    <w:rsid w:val="002D02EC"/>
    <w:rsid w:val="002D2333"/>
    <w:rsid w:val="002D50C0"/>
    <w:rsid w:val="002E00CC"/>
    <w:rsid w:val="002F0729"/>
    <w:rsid w:val="002F5095"/>
    <w:rsid w:val="002F6982"/>
    <w:rsid w:val="002F7B54"/>
    <w:rsid w:val="003009B5"/>
    <w:rsid w:val="00301A2F"/>
    <w:rsid w:val="003161B1"/>
    <w:rsid w:val="003221F6"/>
    <w:rsid w:val="00322CA4"/>
    <w:rsid w:val="0032535A"/>
    <w:rsid w:val="00326148"/>
    <w:rsid w:val="00333492"/>
    <w:rsid w:val="0033390A"/>
    <w:rsid w:val="00343076"/>
    <w:rsid w:val="00350A1F"/>
    <w:rsid w:val="00354B77"/>
    <w:rsid w:val="00363A9A"/>
    <w:rsid w:val="00364F7E"/>
    <w:rsid w:val="00372B0C"/>
    <w:rsid w:val="00385A44"/>
    <w:rsid w:val="003927FB"/>
    <w:rsid w:val="0039529A"/>
    <w:rsid w:val="003A02CF"/>
    <w:rsid w:val="003A4F3A"/>
    <w:rsid w:val="003B1B79"/>
    <w:rsid w:val="003B4CC6"/>
    <w:rsid w:val="003C3A8E"/>
    <w:rsid w:val="003C3D67"/>
    <w:rsid w:val="003D5D10"/>
    <w:rsid w:val="003E0696"/>
    <w:rsid w:val="003E6BB7"/>
    <w:rsid w:val="003F0CA9"/>
    <w:rsid w:val="003F3DFE"/>
    <w:rsid w:val="003F5F3E"/>
    <w:rsid w:val="003F66AF"/>
    <w:rsid w:val="003F69D9"/>
    <w:rsid w:val="00401643"/>
    <w:rsid w:val="00414D02"/>
    <w:rsid w:val="004151B7"/>
    <w:rsid w:val="00417EEA"/>
    <w:rsid w:val="004202BC"/>
    <w:rsid w:val="00424212"/>
    <w:rsid w:val="004265C7"/>
    <w:rsid w:val="004271D0"/>
    <w:rsid w:val="00430E8D"/>
    <w:rsid w:val="00430ED2"/>
    <w:rsid w:val="004314E1"/>
    <w:rsid w:val="004338CD"/>
    <w:rsid w:val="00444E5D"/>
    <w:rsid w:val="004539BF"/>
    <w:rsid w:val="00460FA6"/>
    <w:rsid w:val="00461143"/>
    <w:rsid w:val="00461E59"/>
    <w:rsid w:val="00462754"/>
    <w:rsid w:val="00473580"/>
    <w:rsid w:val="004744E8"/>
    <w:rsid w:val="00476EFB"/>
    <w:rsid w:val="00477995"/>
    <w:rsid w:val="00484D53"/>
    <w:rsid w:val="00493687"/>
    <w:rsid w:val="004A01C7"/>
    <w:rsid w:val="004A2649"/>
    <w:rsid w:val="004A6635"/>
    <w:rsid w:val="004B08BB"/>
    <w:rsid w:val="004B49DD"/>
    <w:rsid w:val="004B503F"/>
    <w:rsid w:val="004B5E70"/>
    <w:rsid w:val="004C3833"/>
    <w:rsid w:val="004D2D2E"/>
    <w:rsid w:val="004D4E9B"/>
    <w:rsid w:val="004E4A1A"/>
    <w:rsid w:val="004E6AC8"/>
    <w:rsid w:val="004F7E94"/>
    <w:rsid w:val="00500E47"/>
    <w:rsid w:val="0050744A"/>
    <w:rsid w:val="0050795C"/>
    <w:rsid w:val="00530E7B"/>
    <w:rsid w:val="0053245F"/>
    <w:rsid w:val="00546264"/>
    <w:rsid w:val="00546FCD"/>
    <w:rsid w:val="00547D1B"/>
    <w:rsid w:val="00551784"/>
    <w:rsid w:val="00552A15"/>
    <w:rsid w:val="0056407C"/>
    <w:rsid w:val="0057185E"/>
    <w:rsid w:val="00573C71"/>
    <w:rsid w:val="005768D2"/>
    <w:rsid w:val="00577377"/>
    <w:rsid w:val="005828A4"/>
    <w:rsid w:val="00587468"/>
    <w:rsid w:val="005A05B7"/>
    <w:rsid w:val="005A4413"/>
    <w:rsid w:val="005B137A"/>
    <w:rsid w:val="005B29A3"/>
    <w:rsid w:val="005B2BF5"/>
    <w:rsid w:val="005B339E"/>
    <w:rsid w:val="005C403B"/>
    <w:rsid w:val="005C5233"/>
    <w:rsid w:val="005D14A7"/>
    <w:rsid w:val="005D500C"/>
    <w:rsid w:val="005D5B10"/>
    <w:rsid w:val="005D6259"/>
    <w:rsid w:val="005D634F"/>
    <w:rsid w:val="005D7F75"/>
    <w:rsid w:val="005D7FD4"/>
    <w:rsid w:val="005E3684"/>
    <w:rsid w:val="005E44AF"/>
    <w:rsid w:val="005E6BB0"/>
    <w:rsid w:val="005E7464"/>
    <w:rsid w:val="005F1CC2"/>
    <w:rsid w:val="005F492F"/>
    <w:rsid w:val="005F4C89"/>
    <w:rsid w:val="00600392"/>
    <w:rsid w:val="00603E6A"/>
    <w:rsid w:val="00606832"/>
    <w:rsid w:val="00622B74"/>
    <w:rsid w:val="006238C0"/>
    <w:rsid w:val="00623C2E"/>
    <w:rsid w:val="0062685E"/>
    <w:rsid w:val="006428EF"/>
    <w:rsid w:val="00656B5F"/>
    <w:rsid w:val="00657CBD"/>
    <w:rsid w:val="0066087E"/>
    <w:rsid w:val="00660DE2"/>
    <w:rsid w:val="00661E8F"/>
    <w:rsid w:val="0066736E"/>
    <w:rsid w:val="006778FD"/>
    <w:rsid w:val="006800E9"/>
    <w:rsid w:val="00680879"/>
    <w:rsid w:val="006833CB"/>
    <w:rsid w:val="00686BA8"/>
    <w:rsid w:val="0069320A"/>
    <w:rsid w:val="00694278"/>
    <w:rsid w:val="006A1F86"/>
    <w:rsid w:val="006A2B00"/>
    <w:rsid w:val="006A4604"/>
    <w:rsid w:val="006B32B8"/>
    <w:rsid w:val="006B4179"/>
    <w:rsid w:val="006B4EF3"/>
    <w:rsid w:val="006B6D7E"/>
    <w:rsid w:val="006C00DE"/>
    <w:rsid w:val="006C0BD3"/>
    <w:rsid w:val="006D2E14"/>
    <w:rsid w:val="006D65E3"/>
    <w:rsid w:val="006F1B9B"/>
    <w:rsid w:val="007024B7"/>
    <w:rsid w:val="00705D49"/>
    <w:rsid w:val="00711D5D"/>
    <w:rsid w:val="007147F7"/>
    <w:rsid w:val="007157E3"/>
    <w:rsid w:val="007249E8"/>
    <w:rsid w:val="00741994"/>
    <w:rsid w:val="00743E94"/>
    <w:rsid w:val="007441A1"/>
    <w:rsid w:val="00747960"/>
    <w:rsid w:val="00762631"/>
    <w:rsid w:val="00763826"/>
    <w:rsid w:val="00770D33"/>
    <w:rsid w:val="00777D84"/>
    <w:rsid w:val="00791AA9"/>
    <w:rsid w:val="00791E08"/>
    <w:rsid w:val="00791FC4"/>
    <w:rsid w:val="00795907"/>
    <w:rsid w:val="0079696A"/>
    <w:rsid w:val="007A791F"/>
    <w:rsid w:val="007B0B29"/>
    <w:rsid w:val="007D16C8"/>
    <w:rsid w:val="007D31CE"/>
    <w:rsid w:val="007D386A"/>
    <w:rsid w:val="007D55E6"/>
    <w:rsid w:val="007D7764"/>
    <w:rsid w:val="007E57BA"/>
    <w:rsid w:val="007E627D"/>
    <w:rsid w:val="007F2282"/>
    <w:rsid w:val="007F66D6"/>
    <w:rsid w:val="007F6A61"/>
    <w:rsid w:val="0080398A"/>
    <w:rsid w:val="00811B1C"/>
    <w:rsid w:val="00811E20"/>
    <w:rsid w:val="00812E3E"/>
    <w:rsid w:val="0081789E"/>
    <w:rsid w:val="0082007C"/>
    <w:rsid w:val="00823DFC"/>
    <w:rsid w:val="00832695"/>
    <w:rsid w:val="00836546"/>
    <w:rsid w:val="00837C2A"/>
    <w:rsid w:val="008479A9"/>
    <w:rsid w:val="00850D8E"/>
    <w:rsid w:val="008556E3"/>
    <w:rsid w:val="00855E39"/>
    <w:rsid w:val="00856290"/>
    <w:rsid w:val="00860C75"/>
    <w:rsid w:val="0086358F"/>
    <w:rsid w:val="00865B70"/>
    <w:rsid w:val="00866F4E"/>
    <w:rsid w:val="00867A60"/>
    <w:rsid w:val="008717C1"/>
    <w:rsid w:val="0088610B"/>
    <w:rsid w:val="00895876"/>
    <w:rsid w:val="00895AAD"/>
    <w:rsid w:val="008C1358"/>
    <w:rsid w:val="008D4026"/>
    <w:rsid w:val="008E15A9"/>
    <w:rsid w:val="008E1956"/>
    <w:rsid w:val="008E221D"/>
    <w:rsid w:val="008E3327"/>
    <w:rsid w:val="008E3628"/>
    <w:rsid w:val="008E4176"/>
    <w:rsid w:val="008E7AB4"/>
    <w:rsid w:val="00902E4D"/>
    <w:rsid w:val="00903A0D"/>
    <w:rsid w:val="00905DB1"/>
    <w:rsid w:val="009111A3"/>
    <w:rsid w:val="009163A1"/>
    <w:rsid w:val="0092005A"/>
    <w:rsid w:val="00920C8F"/>
    <w:rsid w:val="0094358B"/>
    <w:rsid w:val="00943DC7"/>
    <w:rsid w:val="00947552"/>
    <w:rsid w:val="00952E53"/>
    <w:rsid w:val="00953F55"/>
    <w:rsid w:val="00956747"/>
    <w:rsid w:val="0096105C"/>
    <w:rsid w:val="009664C4"/>
    <w:rsid w:val="0096677E"/>
    <w:rsid w:val="0097405C"/>
    <w:rsid w:val="00975559"/>
    <w:rsid w:val="00976857"/>
    <w:rsid w:val="00981870"/>
    <w:rsid w:val="009855D4"/>
    <w:rsid w:val="00991AAF"/>
    <w:rsid w:val="00992166"/>
    <w:rsid w:val="00995004"/>
    <w:rsid w:val="009A1FEE"/>
    <w:rsid w:val="009A53DD"/>
    <w:rsid w:val="009A58A8"/>
    <w:rsid w:val="009B101E"/>
    <w:rsid w:val="009B2FF3"/>
    <w:rsid w:val="009B4459"/>
    <w:rsid w:val="009B5821"/>
    <w:rsid w:val="009C3C46"/>
    <w:rsid w:val="009C58E6"/>
    <w:rsid w:val="009D0AC1"/>
    <w:rsid w:val="009D4B2A"/>
    <w:rsid w:val="009E065E"/>
    <w:rsid w:val="00A049BA"/>
    <w:rsid w:val="00A0543E"/>
    <w:rsid w:val="00A0609A"/>
    <w:rsid w:val="00A128BD"/>
    <w:rsid w:val="00A13644"/>
    <w:rsid w:val="00A17FBF"/>
    <w:rsid w:val="00A2473E"/>
    <w:rsid w:val="00A270B1"/>
    <w:rsid w:val="00A40452"/>
    <w:rsid w:val="00A40A8B"/>
    <w:rsid w:val="00A453FC"/>
    <w:rsid w:val="00A509A3"/>
    <w:rsid w:val="00A51469"/>
    <w:rsid w:val="00A5354D"/>
    <w:rsid w:val="00A5574C"/>
    <w:rsid w:val="00A627D5"/>
    <w:rsid w:val="00A668C0"/>
    <w:rsid w:val="00A70341"/>
    <w:rsid w:val="00A74B16"/>
    <w:rsid w:val="00A93CD8"/>
    <w:rsid w:val="00AA07FD"/>
    <w:rsid w:val="00AB3942"/>
    <w:rsid w:val="00AD2E31"/>
    <w:rsid w:val="00AE4DCB"/>
    <w:rsid w:val="00AE726C"/>
    <w:rsid w:val="00AF1CD5"/>
    <w:rsid w:val="00AF4B66"/>
    <w:rsid w:val="00B1351F"/>
    <w:rsid w:val="00B1472C"/>
    <w:rsid w:val="00B20BB1"/>
    <w:rsid w:val="00B22D1C"/>
    <w:rsid w:val="00B23B76"/>
    <w:rsid w:val="00B2604A"/>
    <w:rsid w:val="00B30D36"/>
    <w:rsid w:val="00B30F7A"/>
    <w:rsid w:val="00B33678"/>
    <w:rsid w:val="00B400FD"/>
    <w:rsid w:val="00B418DE"/>
    <w:rsid w:val="00B5042C"/>
    <w:rsid w:val="00B53CCD"/>
    <w:rsid w:val="00B56958"/>
    <w:rsid w:val="00B71623"/>
    <w:rsid w:val="00B74479"/>
    <w:rsid w:val="00B76BCE"/>
    <w:rsid w:val="00B96E5B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271"/>
    <w:rsid w:val="00BE4AC3"/>
    <w:rsid w:val="00BF0AD0"/>
    <w:rsid w:val="00BF407D"/>
    <w:rsid w:val="00BF62B1"/>
    <w:rsid w:val="00BF72CD"/>
    <w:rsid w:val="00BF74E3"/>
    <w:rsid w:val="00C031A8"/>
    <w:rsid w:val="00C06544"/>
    <w:rsid w:val="00C1113D"/>
    <w:rsid w:val="00C1122E"/>
    <w:rsid w:val="00C152D4"/>
    <w:rsid w:val="00C174BC"/>
    <w:rsid w:val="00C212C5"/>
    <w:rsid w:val="00C2413A"/>
    <w:rsid w:val="00C351A8"/>
    <w:rsid w:val="00C370ED"/>
    <w:rsid w:val="00C3783A"/>
    <w:rsid w:val="00C505B9"/>
    <w:rsid w:val="00C61C98"/>
    <w:rsid w:val="00C740F5"/>
    <w:rsid w:val="00C7506D"/>
    <w:rsid w:val="00C75547"/>
    <w:rsid w:val="00C82E76"/>
    <w:rsid w:val="00C9696B"/>
    <w:rsid w:val="00CA2EE5"/>
    <w:rsid w:val="00CA7882"/>
    <w:rsid w:val="00CB4096"/>
    <w:rsid w:val="00CB4639"/>
    <w:rsid w:val="00CB7269"/>
    <w:rsid w:val="00CC38B7"/>
    <w:rsid w:val="00CD4876"/>
    <w:rsid w:val="00CD578C"/>
    <w:rsid w:val="00CD6630"/>
    <w:rsid w:val="00CD7BC4"/>
    <w:rsid w:val="00CE3E8F"/>
    <w:rsid w:val="00CE788E"/>
    <w:rsid w:val="00D03C81"/>
    <w:rsid w:val="00D04A24"/>
    <w:rsid w:val="00D166FA"/>
    <w:rsid w:val="00D22060"/>
    <w:rsid w:val="00D240BF"/>
    <w:rsid w:val="00D329E6"/>
    <w:rsid w:val="00D32AD7"/>
    <w:rsid w:val="00D35F73"/>
    <w:rsid w:val="00D40FA8"/>
    <w:rsid w:val="00D44183"/>
    <w:rsid w:val="00D44A90"/>
    <w:rsid w:val="00D5148E"/>
    <w:rsid w:val="00D523CF"/>
    <w:rsid w:val="00D54C85"/>
    <w:rsid w:val="00D55BBF"/>
    <w:rsid w:val="00D564A2"/>
    <w:rsid w:val="00D70DE6"/>
    <w:rsid w:val="00D72A0A"/>
    <w:rsid w:val="00D80EA0"/>
    <w:rsid w:val="00D9109C"/>
    <w:rsid w:val="00D914E0"/>
    <w:rsid w:val="00D9633A"/>
    <w:rsid w:val="00DA1A4E"/>
    <w:rsid w:val="00DA29F9"/>
    <w:rsid w:val="00DA6F82"/>
    <w:rsid w:val="00DC7BB1"/>
    <w:rsid w:val="00DC7D2C"/>
    <w:rsid w:val="00DE2E27"/>
    <w:rsid w:val="00DE3D00"/>
    <w:rsid w:val="00DE6491"/>
    <w:rsid w:val="00DF6D95"/>
    <w:rsid w:val="00E039EC"/>
    <w:rsid w:val="00E11D9D"/>
    <w:rsid w:val="00E14242"/>
    <w:rsid w:val="00E27A5A"/>
    <w:rsid w:val="00E3316A"/>
    <w:rsid w:val="00E40778"/>
    <w:rsid w:val="00E467E0"/>
    <w:rsid w:val="00E50EEB"/>
    <w:rsid w:val="00E52F2B"/>
    <w:rsid w:val="00E63FCF"/>
    <w:rsid w:val="00E75ED1"/>
    <w:rsid w:val="00E86AB3"/>
    <w:rsid w:val="00E95E4F"/>
    <w:rsid w:val="00EA3F0C"/>
    <w:rsid w:val="00EA7668"/>
    <w:rsid w:val="00EB19E6"/>
    <w:rsid w:val="00EB2586"/>
    <w:rsid w:val="00EB4D84"/>
    <w:rsid w:val="00EB6AF4"/>
    <w:rsid w:val="00EC1F58"/>
    <w:rsid w:val="00EC495E"/>
    <w:rsid w:val="00ED19EF"/>
    <w:rsid w:val="00ED2405"/>
    <w:rsid w:val="00ED6168"/>
    <w:rsid w:val="00EE198B"/>
    <w:rsid w:val="00EE1F0B"/>
    <w:rsid w:val="00EE5E90"/>
    <w:rsid w:val="00EF490C"/>
    <w:rsid w:val="00EF6830"/>
    <w:rsid w:val="00F00833"/>
    <w:rsid w:val="00F0363F"/>
    <w:rsid w:val="00F037D7"/>
    <w:rsid w:val="00F04D7F"/>
    <w:rsid w:val="00F21417"/>
    <w:rsid w:val="00F21CCD"/>
    <w:rsid w:val="00F24469"/>
    <w:rsid w:val="00F4662E"/>
    <w:rsid w:val="00F607FB"/>
    <w:rsid w:val="00F6312B"/>
    <w:rsid w:val="00F81349"/>
    <w:rsid w:val="00F82451"/>
    <w:rsid w:val="00F83B44"/>
    <w:rsid w:val="00F854DD"/>
    <w:rsid w:val="00F8606B"/>
    <w:rsid w:val="00F87CD6"/>
    <w:rsid w:val="00F9449D"/>
    <w:rsid w:val="00F951C0"/>
    <w:rsid w:val="00F95580"/>
    <w:rsid w:val="00FA0F43"/>
    <w:rsid w:val="00FA4E29"/>
    <w:rsid w:val="00FB412B"/>
    <w:rsid w:val="00FC09C3"/>
    <w:rsid w:val="00FC696A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1B85"/>
  <w15:docId w15:val="{F2B87B86-2B60-41C2-8707-BF2F469E5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programs/" TargetMode="External"/><Relationship Id="rId13" Type="http://schemas.openxmlformats.org/officeDocument/2006/relationships/hyperlink" Target="http://www.cbr.ru" TargetMode="External"/><Relationship Id="rId18" Type="http://schemas.openxmlformats.org/officeDocument/2006/relationships/hyperlink" Target="mailto:statrielt@b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government.ru/programs/" TargetMode="External"/><Relationship Id="rId12" Type="http://schemas.openxmlformats.org/officeDocument/2006/relationships/hyperlink" Target="http://www.gks.ru/bgd/regl/b11_04/isswww.exe/stg/d10/01-00.htm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print.aspx?file=bank_system/4-3-1_17.htm&amp;pid=pdko_sub&amp;sid=dop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viewer.yandex.ru/view/373140133/?*=d0Bxx%2BfMeBM%2BIoQaCL50rw3ehjV7InVybCI6Imh0dHA6Ly93d3cuZ2tzLnJ1L2ZyZWVfZG9jL2RvY18yMDE2L2ppbC1ob3oxNi5wZGYiLCJ0aXRsZSI6ImppbC1ob3oxNi5wZGYiLCJ1aWQiOiIzNzMxNDAxMzMiLCJ5dSI6IjM3NTg3MzcwNzE0ODM3MTg0ODgiLCJub2lmcmFtZSI6dHJ1ZSwidHMiOjE0OTQzMDc0OTY1NzF9&amp;page=11&amp;lang=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br.ru/statistics/?PrtId=pdko_sub" TargetMode="External"/><Relationship Id="rId10" Type="http://schemas.openxmlformats.org/officeDocument/2006/relationships/hyperlink" Target="http://government.ru/programs/213/event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overnment.ru/docs/3352/" TargetMode="External"/><Relationship Id="rId14" Type="http://schemas.openxmlformats.org/officeDocument/2006/relationships/hyperlink" Target="http://www.cbr.ru/statistics/UDStat.aspx?TblID=302-01&amp;pid=sors&amp;sid=ITM_279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46DA2-BD84-4F69-9CD7-FD398D4F3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2687</Words>
  <Characters>15316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romul14603@yandex.ru</cp:lastModifiedBy>
  <cp:revision>7</cp:revision>
  <cp:lastPrinted>2017-10-04T07:33:00Z</cp:lastPrinted>
  <dcterms:created xsi:type="dcterms:W3CDTF">2017-10-04T07:19:00Z</dcterms:created>
  <dcterms:modified xsi:type="dcterms:W3CDTF">2017-10-12T19:02:00Z</dcterms:modified>
</cp:coreProperties>
</file>