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44" w:rsidRPr="00D74407" w:rsidRDefault="00F208C8" w:rsidP="00A43445">
      <w:pPr>
        <w:pStyle w:val="marker-quote3"/>
        <w:spacing w:before="0" w:beforeAutospacing="0" w:after="0" w:afterAutospacing="0"/>
        <w:ind w:firstLine="284"/>
        <w:contextualSpacing/>
        <w:jc w:val="center"/>
        <w:rPr>
          <w:rFonts w:ascii="Arial" w:hAnsi="Arial" w:cs="Arial"/>
          <w:noProof/>
          <w:sz w:val="28"/>
          <w:szCs w:val="28"/>
        </w:rPr>
      </w:pPr>
      <w:r w:rsidRPr="000B468E">
        <w:rPr>
          <w:rStyle w:val="a4"/>
          <w:rFonts w:ascii="Arial" w:hAnsi="Arial" w:cs="Arial"/>
          <w:color w:val="365F91" w:themeColor="accent1" w:themeShade="BF"/>
          <w:sz w:val="28"/>
          <w:szCs w:val="28"/>
          <w:shd w:val="clear" w:color="auto" w:fill="FFFFFF"/>
        </w:rPr>
        <w:t>Анализ влияния общей политической и социально-экономической о</w:t>
      </w:r>
      <w:r w:rsidR="00A9509C">
        <w:rPr>
          <w:rStyle w:val="a4"/>
          <w:rFonts w:ascii="Arial" w:hAnsi="Arial" w:cs="Arial"/>
          <w:color w:val="365F91" w:themeColor="accent1" w:themeShade="BF"/>
          <w:sz w:val="28"/>
          <w:szCs w:val="28"/>
          <w:shd w:val="clear" w:color="auto" w:fill="FFFFFF"/>
        </w:rPr>
        <w:t>бстановки на рынок недвижимости</w:t>
      </w:r>
    </w:p>
    <w:p w:rsidR="00876C65" w:rsidRPr="004B1153" w:rsidRDefault="00F208C8" w:rsidP="00A43445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4B115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Основные экономические показатели России </w:t>
      </w:r>
      <w:r w:rsidR="00876C65" w:rsidRPr="004B115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 </w:t>
      </w:r>
      <w:r w:rsidRPr="004B115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некоторых </w:t>
      </w:r>
      <w:r w:rsidR="00876C65" w:rsidRPr="004B115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стран</w:t>
      </w:r>
      <w:r w:rsidRPr="004B115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мира</w:t>
      </w:r>
    </w:p>
    <w:p w:rsidR="00DB796C" w:rsidRPr="004B1153" w:rsidRDefault="00DB796C" w:rsidP="00A4344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59A7" w:rsidRDefault="002659A7" w:rsidP="00A43445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59A7">
        <w:rPr>
          <w:rFonts w:ascii="Arial" w:eastAsia="Times New Roman" w:hAnsi="Arial" w:cs="Arial"/>
          <w:sz w:val="20"/>
          <w:szCs w:val="20"/>
          <w:lang w:eastAsia="ru-RU"/>
        </w:rPr>
        <w:t>Динамика реального объема валового внутренне</w:t>
      </w:r>
      <w:r>
        <w:rPr>
          <w:rFonts w:ascii="Arial" w:eastAsia="Times New Roman" w:hAnsi="Arial" w:cs="Arial"/>
          <w:sz w:val="20"/>
          <w:szCs w:val="20"/>
          <w:lang w:eastAsia="ru-RU"/>
        </w:rPr>
        <w:t>го продукта, прирост (снижение)</w:t>
      </w:r>
      <w:r w:rsidR="00F208C8" w:rsidRPr="004B1153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876C65" w:rsidRPr="004B115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659A7" w:rsidRPr="002659A7" w:rsidRDefault="00876C65" w:rsidP="002659A7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B1153">
        <w:rPr>
          <w:rFonts w:ascii="Arial" w:eastAsia="Times New Roman" w:hAnsi="Arial" w:cs="Arial"/>
          <w:sz w:val="20"/>
          <w:szCs w:val="20"/>
          <w:lang w:eastAsia="ru-RU"/>
        </w:rPr>
        <w:t xml:space="preserve">% </w:t>
      </w:r>
      <w:r w:rsidR="00F208C8" w:rsidRPr="004B1153">
        <w:rPr>
          <w:rFonts w:ascii="Arial" w:eastAsia="Times New Roman" w:hAnsi="Arial" w:cs="Arial"/>
          <w:sz w:val="20"/>
          <w:szCs w:val="20"/>
          <w:lang w:eastAsia="ru-RU"/>
        </w:rPr>
        <w:t xml:space="preserve">к предыдущему </w:t>
      </w:r>
      <w:r w:rsidR="002659A7">
        <w:rPr>
          <w:rFonts w:ascii="Arial" w:eastAsia="Times New Roman" w:hAnsi="Arial" w:cs="Arial"/>
          <w:sz w:val="20"/>
          <w:szCs w:val="20"/>
          <w:lang w:eastAsia="ru-RU"/>
        </w:rPr>
        <w:t>периоду</w:t>
      </w:r>
    </w:p>
    <w:tbl>
      <w:tblPr>
        <w:tblW w:w="8647" w:type="dxa"/>
        <w:tblCellSpacing w:w="7" w:type="dxa"/>
        <w:tblInd w:w="9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0"/>
        <w:gridCol w:w="1238"/>
        <w:gridCol w:w="1098"/>
        <w:gridCol w:w="956"/>
        <w:gridCol w:w="963"/>
        <w:gridCol w:w="1922"/>
      </w:tblGrid>
      <w:tr w:rsidR="003C25AC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2659A7" w:rsidRDefault="003C25A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I кв.</w:t>
            </w:r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2016г.</w:t>
            </w:r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в % к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I кв.</w:t>
            </w:r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2015г.</w:t>
            </w:r>
          </w:p>
        </w:tc>
      </w:tr>
      <w:tr w:rsidR="003C25AC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-1,2</w:t>
            </w:r>
            <w:r w:rsidRPr="002659A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</w:tr>
      <w:tr w:rsidR="002659A7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Бразилия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-6,0</w:t>
            </w:r>
            <w:r w:rsidRPr="002659A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2659A7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  <w:tr w:rsidR="002659A7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  <w:r w:rsidRPr="002659A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2659A7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2659A7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</w:tr>
      <w:tr w:rsidR="002659A7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2659A7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2659A7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2659A7" w:rsidRPr="002659A7" w:rsidTr="003C25AC">
        <w:trPr>
          <w:tblCellSpacing w:w="7" w:type="dxa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Япония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498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2659A7" w:rsidRDefault="002659A7" w:rsidP="002E62F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1) По данным</w:t>
            </w:r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Международного валютного фонда (МВФ), Организации экономического сотрудничества и развития (ОЭСР)</w:t>
            </w:r>
            <w:proofErr w:type="gramStart"/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,С</w:t>
            </w:r>
            <w:proofErr w:type="gramEnd"/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татистического бюро Европейского союза (</w:t>
            </w:r>
            <w:proofErr w:type="spellStart"/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Евростата</w:t>
            </w:r>
            <w:proofErr w:type="spellEnd"/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 и оперативных данных национальных статистических служб.</w:t>
            </w:r>
            <w:r w:rsidRPr="002659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2)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Предварительные данные.</w:t>
            </w:r>
          </w:p>
        </w:tc>
      </w:tr>
    </w:tbl>
    <w:p w:rsidR="003C25AC" w:rsidRPr="003C25AC" w:rsidRDefault="00F208C8" w:rsidP="003C25AC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B1153">
        <w:rPr>
          <w:rFonts w:ascii="Arial" w:eastAsia="Times New Roman" w:hAnsi="Arial" w:cs="Arial"/>
          <w:sz w:val="20"/>
          <w:szCs w:val="20"/>
          <w:lang w:eastAsia="ru-RU"/>
        </w:rPr>
        <w:t>Объем</w:t>
      </w:r>
      <w:r w:rsidR="00DB796C" w:rsidRPr="004B1153">
        <w:rPr>
          <w:rFonts w:ascii="Arial" w:eastAsia="Times New Roman" w:hAnsi="Arial" w:cs="Arial"/>
          <w:sz w:val="20"/>
          <w:szCs w:val="20"/>
          <w:lang w:eastAsia="ru-RU"/>
        </w:rPr>
        <w:t xml:space="preserve"> промышленного производства</w:t>
      </w:r>
      <w:r w:rsidRPr="004B115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76C65" w:rsidRPr="004B1153">
        <w:rPr>
          <w:rFonts w:ascii="Arial" w:eastAsia="Times New Roman" w:hAnsi="Arial" w:cs="Arial"/>
          <w:sz w:val="20"/>
          <w:szCs w:val="20"/>
          <w:lang w:eastAsia="ru-RU"/>
        </w:rPr>
        <w:t xml:space="preserve">% к предыдущему </w:t>
      </w:r>
      <w:r w:rsidR="003C25AC">
        <w:rPr>
          <w:rFonts w:ascii="Arial" w:eastAsia="Times New Roman" w:hAnsi="Arial" w:cs="Arial"/>
          <w:sz w:val="20"/>
          <w:szCs w:val="20"/>
          <w:lang w:eastAsia="ru-RU"/>
        </w:rPr>
        <w:t>периоду</w:t>
      </w:r>
    </w:p>
    <w:tbl>
      <w:tblPr>
        <w:tblW w:w="8551" w:type="dxa"/>
        <w:jc w:val="center"/>
        <w:tblCellSpacing w:w="7" w:type="dxa"/>
        <w:tblInd w:w="10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4"/>
        <w:gridCol w:w="1091"/>
        <w:gridCol w:w="1089"/>
        <w:gridCol w:w="1089"/>
        <w:gridCol w:w="1089"/>
        <w:gridCol w:w="1729"/>
      </w:tblGrid>
      <w:tr w:rsidR="003C25AC" w:rsidRPr="003C25AC" w:rsidTr="002E62F2">
        <w:trPr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3C25AC" w:rsidRDefault="002E62F2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3C25AC" w:rsidRDefault="002E62F2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3C25AC" w:rsidRDefault="002E62F2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I кв.</w:t>
            </w: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2016г.</w:t>
            </w: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в % к </w:t>
            </w: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I кв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2015г.</w:t>
            </w:r>
          </w:p>
        </w:tc>
      </w:tr>
      <w:tr w:rsidR="003C25AC" w:rsidRPr="003C25AC" w:rsidTr="002E62F2">
        <w:trPr>
          <w:trHeight w:val="60"/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-0,6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Бразилия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-11,8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-0,2</w:t>
            </w:r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-1,7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Япония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-4,2</w:t>
            </w:r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498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4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1) Январь-февраль 2016г. </w:t>
            </w:r>
            <w:proofErr w:type="gramStart"/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январю-февралю 2015 года.</w:t>
            </w:r>
          </w:p>
        </w:tc>
      </w:tr>
    </w:tbl>
    <w:p w:rsidR="00F208C8" w:rsidRPr="004B1153" w:rsidRDefault="00F208C8" w:rsidP="003C25AC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5AC" w:rsidRDefault="003C25AC" w:rsidP="00A43445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5AC" w:rsidRDefault="003C25AC" w:rsidP="00A43445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62F2" w:rsidRDefault="002E62F2" w:rsidP="003C25AC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62F2" w:rsidRDefault="002E62F2" w:rsidP="003C25AC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5AC" w:rsidRPr="003C25AC" w:rsidRDefault="00DB796C" w:rsidP="003C25AC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B1153">
        <w:rPr>
          <w:rFonts w:ascii="Arial" w:eastAsia="Times New Roman" w:hAnsi="Arial" w:cs="Arial"/>
          <w:sz w:val="20"/>
          <w:szCs w:val="20"/>
          <w:lang w:eastAsia="ru-RU"/>
        </w:rPr>
        <w:t>Динамика потребительских цен</w:t>
      </w:r>
      <w:r w:rsidR="00F208C8" w:rsidRPr="004B115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76C65" w:rsidRPr="004B1153">
        <w:rPr>
          <w:rFonts w:ascii="Arial" w:eastAsia="Times New Roman" w:hAnsi="Arial" w:cs="Arial"/>
          <w:sz w:val="20"/>
          <w:szCs w:val="20"/>
          <w:lang w:eastAsia="ru-RU"/>
        </w:rPr>
        <w:t>% к предыдущему периоду</w:t>
      </w:r>
    </w:p>
    <w:tbl>
      <w:tblPr>
        <w:tblW w:w="8505" w:type="dxa"/>
        <w:jc w:val="center"/>
        <w:tblCellSpacing w:w="7" w:type="dxa"/>
        <w:tblInd w:w="58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3"/>
        <w:gridCol w:w="420"/>
        <w:gridCol w:w="1038"/>
        <w:gridCol w:w="813"/>
        <w:gridCol w:w="813"/>
        <w:gridCol w:w="813"/>
        <w:gridCol w:w="1083"/>
        <w:gridCol w:w="1732"/>
      </w:tblGrid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4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4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4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Март 2016г. </w:t>
            </w:r>
            <w:proofErr w:type="gramStart"/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февралю </w:t>
            </w: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2016г.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марту</w:t>
            </w: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2015г.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7,3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Бразилия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Германия</w:t>
            </w:r>
            <w:proofErr w:type="gramStart"/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Великобритания</w:t>
            </w:r>
            <w:proofErr w:type="gramStart"/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Франция</w:t>
            </w:r>
            <w:proofErr w:type="gramStart"/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3C25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-0,1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Япония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-0,1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Справочно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498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5AC" w:rsidRPr="003C25AC" w:rsidRDefault="009505D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Россия</w:t>
            </w:r>
            <w:r w:rsidR="003C25AC"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на конец периода к концу предыдущего периода</w:t>
            </w:r>
          </w:p>
        </w:tc>
      </w:tr>
      <w:tr w:rsidR="002E62F2" w:rsidRPr="003C25AC" w:rsidTr="00550695">
        <w:trPr>
          <w:tblCellSpacing w:w="7" w:type="dxa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9505D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9505D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9505D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9505D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9505D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9505D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9505D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7,3</w:t>
            </w:r>
          </w:p>
        </w:tc>
      </w:tr>
      <w:tr w:rsidR="003C25AC" w:rsidRPr="003C25AC" w:rsidTr="002E62F2">
        <w:trPr>
          <w:tblCellSpacing w:w="7" w:type="dxa"/>
          <w:jc w:val="center"/>
        </w:trPr>
        <w:tc>
          <w:tcPr>
            <w:tcW w:w="498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25AC" w:rsidRPr="003C25AC" w:rsidRDefault="003C25AC" w:rsidP="002E62F2">
            <w:pPr>
              <w:spacing w:after="0" w:line="240" w:lineRule="auto"/>
              <w:ind w:firstLine="2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1) Гармонизированные индексы потребительских цен (по данным </w:t>
            </w:r>
            <w:proofErr w:type="spellStart"/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Евростата</w:t>
            </w:r>
            <w:proofErr w:type="spellEnd"/>
            <w:r w:rsidRPr="003C25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).</w:t>
            </w:r>
          </w:p>
        </w:tc>
      </w:tr>
    </w:tbl>
    <w:p w:rsidR="00876C65" w:rsidRPr="004B1153" w:rsidRDefault="00876C65" w:rsidP="00A43445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505DC" w:rsidRPr="009505DC" w:rsidRDefault="00F208C8" w:rsidP="009505DC">
      <w:pPr>
        <w:spacing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B1153">
        <w:rPr>
          <w:rFonts w:ascii="Arial" w:eastAsia="Times New Roman" w:hAnsi="Arial" w:cs="Arial"/>
          <w:sz w:val="20"/>
          <w:szCs w:val="20"/>
          <w:lang w:eastAsia="ru-RU"/>
        </w:rPr>
        <w:t xml:space="preserve">Уровень безработицы, </w:t>
      </w:r>
      <w:r w:rsidR="00876C65" w:rsidRPr="004B1153">
        <w:rPr>
          <w:rFonts w:ascii="Arial" w:eastAsia="Times New Roman" w:hAnsi="Arial" w:cs="Arial"/>
          <w:sz w:val="20"/>
          <w:szCs w:val="20"/>
          <w:lang w:eastAsia="ru-RU"/>
        </w:rPr>
        <w:t xml:space="preserve">% к </w:t>
      </w:r>
      <w:r w:rsidR="009505DC">
        <w:rPr>
          <w:rFonts w:ascii="Arial" w:eastAsia="Times New Roman" w:hAnsi="Arial" w:cs="Arial"/>
          <w:sz w:val="20"/>
          <w:szCs w:val="20"/>
          <w:lang w:eastAsia="ru-RU"/>
        </w:rPr>
        <w:t>численности рабочей силы экономически активного населения</w:t>
      </w:r>
    </w:p>
    <w:tbl>
      <w:tblPr>
        <w:tblW w:w="8329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0"/>
        <w:gridCol w:w="1112"/>
        <w:gridCol w:w="1115"/>
        <w:gridCol w:w="1114"/>
        <w:gridCol w:w="1114"/>
        <w:gridCol w:w="1114"/>
      </w:tblGrid>
      <w:tr w:rsidR="009505DC" w:rsidRPr="009505DC" w:rsidTr="00550695">
        <w:trPr>
          <w:trHeight w:val="360"/>
          <w:tblCellSpacing w:w="7" w:type="dxa"/>
          <w:jc w:val="center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9505DC" w:rsidRDefault="00596141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Март</w:t>
            </w:r>
            <w:r w:rsidRPr="00950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2016г.</w:t>
            </w:r>
          </w:p>
        </w:tc>
      </w:tr>
      <w:tr w:rsidR="009505DC" w:rsidRPr="009505DC" w:rsidTr="00550695">
        <w:trPr>
          <w:tblCellSpacing w:w="7" w:type="dxa"/>
          <w:jc w:val="center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</w:tr>
      <w:tr w:rsidR="009505DC" w:rsidRPr="009505DC" w:rsidTr="00550695">
        <w:trPr>
          <w:tblCellSpacing w:w="7" w:type="dxa"/>
          <w:jc w:val="center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9505DC" w:rsidRPr="009505DC" w:rsidTr="00550695">
        <w:trPr>
          <w:tblCellSpacing w:w="7" w:type="dxa"/>
          <w:jc w:val="center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9505DC" w:rsidRPr="009505DC" w:rsidTr="00550695">
        <w:trPr>
          <w:tblCellSpacing w:w="7" w:type="dxa"/>
          <w:jc w:val="center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  <w:r w:rsidRPr="009505D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</w:tr>
      <w:tr w:rsidR="009505DC" w:rsidRPr="009505DC" w:rsidTr="00550695">
        <w:trPr>
          <w:tblCellSpacing w:w="7" w:type="dxa"/>
          <w:jc w:val="center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9505DC" w:rsidRPr="009505DC" w:rsidTr="00550695">
        <w:trPr>
          <w:tblCellSpacing w:w="7" w:type="dxa"/>
          <w:jc w:val="center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9505DC" w:rsidRPr="009505DC" w:rsidTr="00550695">
        <w:trPr>
          <w:tblCellSpacing w:w="7" w:type="dxa"/>
          <w:jc w:val="center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Япония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</w:tr>
      <w:tr w:rsidR="009505DC" w:rsidRPr="009505DC" w:rsidTr="009505DC">
        <w:trPr>
          <w:tblCellSpacing w:w="7" w:type="dxa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6141" w:rsidRPr="009505DC" w:rsidRDefault="009505DC" w:rsidP="002E62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1) Февраль 2016 года.</w:t>
            </w:r>
          </w:p>
        </w:tc>
      </w:tr>
    </w:tbl>
    <w:p w:rsidR="009505DC" w:rsidRPr="009505DC" w:rsidRDefault="009505DC" w:rsidP="009505DC">
      <w:pPr>
        <w:spacing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505D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6F4AC0" w:rsidRDefault="00042FDC" w:rsidP="009505DC">
      <w:pPr>
        <w:spacing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Индекс физического объёма ВВП </w:t>
      </w:r>
      <w:r w:rsidR="00C83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России </w:t>
      </w:r>
      <w:r w:rsidRPr="00042F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видам экономической деятельности в </w:t>
      </w:r>
      <w:r w:rsidR="00ED09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сопоставимых</w:t>
      </w:r>
      <w:r w:rsidRPr="00042F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ценах, </w:t>
      </w:r>
    </w:p>
    <w:p w:rsidR="00042FDC" w:rsidRPr="00042FDC" w:rsidRDefault="00042FDC" w:rsidP="006F4A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предыдущему году</w:t>
      </w:r>
    </w:p>
    <w:tbl>
      <w:tblPr>
        <w:tblW w:w="9164" w:type="dxa"/>
        <w:jc w:val="center"/>
        <w:tblCellSpacing w:w="7" w:type="dxa"/>
        <w:tblInd w:w="-252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4"/>
        <w:gridCol w:w="1021"/>
        <w:gridCol w:w="1019"/>
      </w:tblGrid>
      <w:tr w:rsidR="008C2DC2" w:rsidRPr="00042FDC" w:rsidTr="005B6132">
        <w:trPr>
          <w:trHeight w:val="309"/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042FDC" w:rsidRPr="00042FDC" w:rsidRDefault="00042FDC" w:rsidP="00042FDC">
            <w:pPr>
              <w:spacing w:after="0" w:line="240" w:lineRule="auto"/>
              <w:ind w:left="18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2015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  <w:r w:rsidRPr="00042FD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99CCFF"/>
            <w:vAlign w:val="center"/>
          </w:tcPr>
          <w:p w:rsidR="008C2DC2" w:rsidRPr="008C2DC2" w:rsidRDefault="008C2DC2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доля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042FDC" w:rsidRPr="000C228D" w:rsidRDefault="008C2DC2" w:rsidP="00042FDC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28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Валовой внутренний продукт </w:t>
            </w:r>
            <w:r w:rsidR="00C83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РФ </w:t>
            </w:r>
            <w:r w:rsidRPr="000C228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в рыночных ценах, в т.ч.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042FDC" w:rsidRPr="000C228D" w:rsidRDefault="008C2DC2" w:rsidP="00042FD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28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</w:tcPr>
          <w:p w:rsidR="008C2DC2" w:rsidRPr="000C228D" w:rsidRDefault="008C2DC2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28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8C2DC2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и распределение </w:t>
            </w: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электроэнергии, газа и воды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8C2DC2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8C2DC2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8C2DC2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хозяйство, охота и лесное хозяйство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DC" w:rsidRPr="00042FDC" w:rsidRDefault="008C2DC2" w:rsidP="008C2D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8C2DC2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оптовая и розничная торговля;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автотранспортных средств,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мотоциклов, бытовых изделий и предметов личного пользования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DB3991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DB3991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DB3991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DB3991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с недвижимым имуществом, аренда и предоставление услуг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DC" w:rsidRPr="00042FDC" w:rsidRDefault="008C2DC2" w:rsidP="00042FD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2F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DC2" w:rsidRPr="00042FDC" w:rsidRDefault="00DB3991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</w:tr>
      <w:tr w:rsidR="008C2DC2" w:rsidRPr="00042FDC" w:rsidTr="005B6132">
        <w:trPr>
          <w:tblCellSpacing w:w="7" w:type="dxa"/>
          <w:jc w:val="center"/>
        </w:trPr>
        <w:tc>
          <w:tcPr>
            <w:tcW w:w="387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042FDC" w:rsidRPr="006F4AC0" w:rsidRDefault="008C2DC2" w:rsidP="00042FDC">
            <w:pPr>
              <w:spacing w:after="0" w:line="240" w:lineRule="auto"/>
              <w:ind w:left="18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A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Чистые налоги на продукты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042FDC" w:rsidRPr="006F4AC0" w:rsidRDefault="008C2DC2" w:rsidP="00042FD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A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</w:tcPr>
          <w:p w:rsidR="008C2DC2" w:rsidRPr="006F4AC0" w:rsidRDefault="008C2DC2" w:rsidP="00DB39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5B6132" w:rsidRDefault="005B6132" w:rsidP="00F007A1">
      <w:pPr>
        <w:pStyle w:val="marker-quote3"/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Анализ тренда</w:t>
      </w:r>
      <w:r w:rsidRPr="005B6132">
        <w:rPr>
          <w:rFonts w:ascii="Arial" w:hAnsi="Arial" w:cs="Arial"/>
          <w:bCs/>
          <w:sz w:val="20"/>
          <w:szCs w:val="20"/>
        </w:rPr>
        <w:t xml:space="preserve"> ВВП </w:t>
      </w:r>
      <w:r>
        <w:rPr>
          <w:rFonts w:ascii="Arial" w:hAnsi="Arial" w:cs="Arial"/>
          <w:bCs/>
          <w:sz w:val="20"/>
          <w:szCs w:val="20"/>
        </w:rPr>
        <w:t xml:space="preserve">по итогам мая 2016 года </w:t>
      </w:r>
      <w:r w:rsidRPr="005B6132">
        <w:rPr>
          <w:rFonts w:ascii="Arial" w:hAnsi="Arial" w:cs="Arial"/>
          <w:bCs/>
          <w:sz w:val="20"/>
          <w:szCs w:val="20"/>
        </w:rPr>
        <w:t>показывает, что признаки восстановления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B6132">
        <w:rPr>
          <w:rFonts w:ascii="Arial" w:hAnsi="Arial" w:cs="Arial"/>
          <w:bCs/>
          <w:sz w:val="20"/>
          <w:szCs w:val="20"/>
        </w:rPr>
        <w:t>экономики могут проявит</w:t>
      </w:r>
      <w:r>
        <w:rPr>
          <w:rFonts w:ascii="Arial" w:hAnsi="Arial" w:cs="Arial"/>
          <w:bCs/>
          <w:sz w:val="20"/>
          <w:szCs w:val="20"/>
        </w:rPr>
        <w:t>ься уже во II квартале</w:t>
      </w:r>
      <w:r w:rsidRPr="005B6132">
        <w:rPr>
          <w:rFonts w:ascii="Arial" w:hAnsi="Arial" w:cs="Arial"/>
          <w:bCs/>
          <w:sz w:val="20"/>
          <w:szCs w:val="20"/>
        </w:rPr>
        <w:t>, однако рост будет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B6132">
        <w:rPr>
          <w:rFonts w:ascii="Arial" w:hAnsi="Arial" w:cs="Arial"/>
          <w:bCs/>
          <w:sz w:val="20"/>
          <w:szCs w:val="20"/>
        </w:rPr>
        <w:t>небольшим – в пределах 0,2% (с устраненной сезонностью).</w:t>
      </w:r>
      <w:r>
        <w:rPr>
          <w:rFonts w:ascii="Arial" w:hAnsi="Arial" w:cs="Arial"/>
          <w:bCs/>
          <w:sz w:val="20"/>
          <w:szCs w:val="20"/>
        </w:rPr>
        <w:t xml:space="preserve"> В</w:t>
      </w:r>
      <w:r w:rsidRPr="005B6132">
        <w:rPr>
          <w:rFonts w:ascii="Arial" w:hAnsi="Arial" w:cs="Arial"/>
          <w:bCs/>
          <w:sz w:val="20"/>
          <w:szCs w:val="20"/>
        </w:rPr>
        <w:t xml:space="preserve"> III квартале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B6132">
        <w:rPr>
          <w:rFonts w:ascii="Arial" w:hAnsi="Arial" w:cs="Arial"/>
          <w:bCs/>
          <w:sz w:val="20"/>
          <w:szCs w:val="20"/>
        </w:rPr>
        <w:t>рос</w:t>
      </w:r>
      <w:r w:rsidR="00F007A1">
        <w:rPr>
          <w:rFonts w:ascii="Arial" w:hAnsi="Arial" w:cs="Arial"/>
          <w:bCs/>
          <w:sz w:val="20"/>
          <w:szCs w:val="20"/>
        </w:rPr>
        <w:t>т ВВП ожидается на уровне 0,3%, в IV квартале – на 0,5%</w:t>
      </w:r>
      <w:r>
        <w:rPr>
          <w:rFonts w:ascii="Arial" w:hAnsi="Arial" w:cs="Arial"/>
          <w:bCs/>
          <w:sz w:val="20"/>
          <w:szCs w:val="20"/>
        </w:rPr>
        <w:t>.</w:t>
      </w:r>
      <w:r w:rsidR="00F007A1">
        <w:rPr>
          <w:rFonts w:ascii="Arial" w:hAnsi="Arial" w:cs="Arial"/>
          <w:bCs/>
          <w:sz w:val="20"/>
          <w:szCs w:val="20"/>
        </w:rPr>
        <w:t xml:space="preserve"> Признаки стабилизации экономики обусловлены положительной динамикой на рынке нефти и в обрабатывающих отраслях производства.</w:t>
      </w:r>
    </w:p>
    <w:p w:rsidR="007C607A" w:rsidRDefault="00AC6DA9" w:rsidP="002613E7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AC6DA9">
        <w:rPr>
          <w:rFonts w:ascii="Arial" w:hAnsi="Arial" w:cs="Arial"/>
          <w:sz w:val="20"/>
          <w:szCs w:val="20"/>
        </w:rPr>
        <w:t>В I квартале 2016 г., по оперативным данным</w:t>
      </w:r>
      <w:r>
        <w:rPr>
          <w:rFonts w:ascii="Arial" w:hAnsi="Arial" w:cs="Arial"/>
          <w:sz w:val="20"/>
          <w:szCs w:val="20"/>
        </w:rPr>
        <w:t xml:space="preserve"> Росстата</w:t>
      </w:r>
      <w:r w:rsidRPr="00AC6DA9">
        <w:rPr>
          <w:rFonts w:ascii="Arial" w:hAnsi="Arial" w:cs="Arial"/>
          <w:sz w:val="20"/>
          <w:szCs w:val="20"/>
        </w:rPr>
        <w:t xml:space="preserve">, </w:t>
      </w:r>
      <w:r w:rsidR="002613E7" w:rsidRPr="00AC6DA9">
        <w:rPr>
          <w:rFonts w:ascii="Arial" w:hAnsi="Arial" w:cs="Arial"/>
          <w:sz w:val="20"/>
          <w:szCs w:val="20"/>
        </w:rPr>
        <w:t>32,6 тыс. организаций получили прибыль в размере +3274,1 млрд. рублей, 17,4 тыс. организаций имели убыток на сумму 758,5 млрд. рублей.</w:t>
      </w:r>
      <w:r w:rsidR="002613E7">
        <w:rPr>
          <w:rFonts w:ascii="Arial" w:hAnsi="Arial" w:cs="Arial"/>
          <w:sz w:val="20"/>
          <w:szCs w:val="20"/>
        </w:rPr>
        <w:t xml:space="preserve"> С</w:t>
      </w:r>
      <w:r w:rsidRPr="00AC6DA9">
        <w:rPr>
          <w:rFonts w:ascii="Arial" w:hAnsi="Arial" w:cs="Arial"/>
          <w:sz w:val="20"/>
          <w:szCs w:val="20"/>
        </w:rPr>
        <w:t xml:space="preserve">альдированный финансовый результат (прибыль минус убыток) организаций (без субъектов малого предпринимательства, банков, страховых организаций и бюджетных учреждений) в действующих ценах составил +2515,6 млрд. рублей. </w:t>
      </w:r>
    </w:p>
    <w:p w:rsidR="008D63DD" w:rsidRDefault="008D63DD" w:rsidP="002613E7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8D63DD">
        <w:rPr>
          <w:rFonts w:ascii="Arial" w:hAnsi="Arial" w:cs="Arial"/>
          <w:sz w:val="20"/>
          <w:szCs w:val="20"/>
        </w:rPr>
        <w:t>По оценке Минэкономразвития России, в апреле было отмечено значительное снижение реальной заработной платы (-1,4 % к марту с исключением сезонного фактора), по уточненным данным в марте сезонно очищенное снижение составило 0,3 процента.</w:t>
      </w:r>
    </w:p>
    <w:p w:rsidR="005B6132" w:rsidRDefault="005B6132" w:rsidP="002613E7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AC6DA9" w:rsidRPr="005B6132" w:rsidRDefault="005B6132" w:rsidP="005B6132">
      <w:pPr>
        <w:pStyle w:val="marker-quote3"/>
        <w:ind w:firstLine="28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B6132">
        <w:rPr>
          <w:rFonts w:ascii="Arial" w:hAnsi="Arial" w:cs="Arial"/>
          <w:b/>
          <w:sz w:val="20"/>
          <w:szCs w:val="20"/>
        </w:rPr>
        <w:t>Инфляция</w:t>
      </w:r>
    </w:p>
    <w:p w:rsidR="00AC6DA9" w:rsidRPr="00C83491" w:rsidRDefault="001203A5" w:rsidP="00A32754">
      <w:pPr>
        <w:pStyle w:val="marker-quote3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0C228D">
        <w:rPr>
          <w:rFonts w:ascii="Arial" w:hAnsi="Arial" w:cs="Arial"/>
          <w:sz w:val="20"/>
          <w:szCs w:val="20"/>
        </w:rPr>
        <w:t> </w:t>
      </w:r>
      <w:proofErr w:type="gramStart"/>
      <w:r w:rsidRPr="000C228D">
        <w:rPr>
          <w:rFonts w:ascii="Arial" w:hAnsi="Arial" w:cs="Arial"/>
          <w:sz w:val="20"/>
          <w:szCs w:val="20"/>
        </w:rPr>
        <w:t>Инфляция </w:t>
      </w:r>
      <w:r w:rsidR="00FB48A6" w:rsidRPr="00FB48A6">
        <w:rPr>
          <w:rFonts w:ascii="Arial" w:hAnsi="Arial" w:cs="Arial"/>
          <w:sz w:val="20"/>
          <w:szCs w:val="20"/>
        </w:rPr>
        <w:t xml:space="preserve">с начала мая </w:t>
      </w:r>
      <w:r w:rsidR="00FB48A6">
        <w:rPr>
          <w:rFonts w:ascii="Arial" w:hAnsi="Arial" w:cs="Arial"/>
          <w:sz w:val="20"/>
          <w:szCs w:val="20"/>
        </w:rPr>
        <w:t>составила</w:t>
      </w:r>
      <w:r w:rsidR="00FB48A6" w:rsidRPr="00FB48A6">
        <w:rPr>
          <w:rFonts w:ascii="Arial" w:hAnsi="Arial" w:cs="Arial"/>
          <w:sz w:val="20"/>
          <w:szCs w:val="20"/>
        </w:rPr>
        <w:t xml:space="preserve"> 100,4%, с начала года - 102,9%</w:t>
      </w:r>
      <w:r w:rsidR="00FB48A6">
        <w:rPr>
          <w:rFonts w:ascii="Arial" w:hAnsi="Arial" w:cs="Arial"/>
          <w:sz w:val="20"/>
          <w:szCs w:val="20"/>
        </w:rPr>
        <w:t>. Для сравнения, по итогам мая</w:t>
      </w:r>
      <w:r w:rsidR="00FB48A6" w:rsidRPr="00FB48A6">
        <w:rPr>
          <w:rFonts w:ascii="Arial" w:hAnsi="Arial" w:cs="Arial"/>
          <w:sz w:val="20"/>
          <w:szCs w:val="20"/>
        </w:rPr>
        <w:t xml:space="preserve"> 2015г</w:t>
      </w:r>
      <w:r w:rsidR="00FB48A6">
        <w:rPr>
          <w:rFonts w:ascii="Arial" w:hAnsi="Arial" w:cs="Arial"/>
          <w:sz w:val="20"/>
          <w:szCs w:val="20"/>
        </w:rPr>
        <w:t xml:space="preserve"> </w:t>
      </w:r>
      <w:r w:rsidR="00FB48A6" w:rsidRPr="00FB48A6">
        <w:rPr>
          <w:rFonts w:ascii="Arial" w:hAnsi="Arial" w:cs="Arial"/>
          <w:sz w:val="20"/>
          <w:szCs w:val="20"/>
        </w:rPr>
        <w:t>с начала года - 108,3%).</w:t>
      </w:r>
      <w:proofErr w:type="gramEnd"/>
      <w:r w:rsidR="003102D5">
        <w:rPr>
          <w:rFonts w:ascii="Arial" w:hAnsi="Arial" w:cs="Arial"/>
          <w:sz w:val="20"/>
          <w:szCs w:val="20"/>
        </w:rPr>
        <w:t xml:space="preserve"> Государство планирует инфляцию на 2017 год в размере 4 %.</w:t>
      </w:r>
    </w:p>
    <w:p w:rsidR="00C83491" w:rsidRDefault="00C83491" w:rsidP="00C83491">
      <w:pPr>
        <w:spacing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67C125" wp14:editId="6F698713">
            <wp:extent cx="4511615" cy="278216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099" t="21041" r="20348" b="20204"/>
                    <a:stretch/>
                  </pic:blipFill>
                  <pic:spPr bwMode="auto">
                    <a:xfrm>
                      <a:off x="0" y="0"/>
                      <a:ext cx="4526097" cy="2791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491" w:rsidRPr="004B1153" w:rsidRDefault="00C83491" w:rsidP="00C00C6E">
      <w:pPr>
        <w:spacing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Значительный рост потребительских цен с декабря 2014 года на товары повседневного спроса, особенно продовольственные товары, привел к снижению спроса на остальную продукцию и услуги</w:t>
      </w:r>
      <w:r w:rsidR="00871B07">
        <w:rPr>
          <w:rFonts w:ascii="Arial" w:eastAsia="Times New Roman" w:hAnsi="Arial" w:cs="Arial"/>
          <w:sz w:val="20"/>
          <w:szCs w:val="20"/>
          <w:lang w:eastAsia="ru-RU"/>
        </w:rPr>
        <w:t xml:space="preserve"> (недвижимость, автомобили, станки, мебель и др.). </w:t>
      </w:r>
    </w:p>
    <w:p w:rsidR="00D8377C" w:rsidRPr="00871B07" w:rsidRDefault="00C83491" w:rsidP="00871B07">
      <w:pPr>
        <w:spacing w:after="100" w:afterAutospacing="1" w:line="240" w:lineRule="auto"/>
        <w:ind w:firstLine="284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  <w:sectPr w:rsidR="00D8377C" w:rsidRPr="00871B07" w:rsidSect="002E62F2">
          <w:pgSz w:w="11906" w:h="16838"/>
          <w:pgMar w:top="567" w:right="566" w:bottom="426" w:left="1134" w:header="708" w:footer="708" w:gutter="0"/>
          <w:cols w:space="708"/>
          <w:docGrid w:linePitch="360"/>
        </w:sectPr>
      </w:pPr>
      <w:r w:rsidRPr="004B115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3B9E4DF" wp14:editId="1D8E20F2">
            <wp:extent cx="3729843" cy="2216989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73" t="10322" r="30149" b="26556"/>
                    <a:stretch/>
                  </pic:blipFill>
                  <pic:spPr bwMode="auto">
                    <a:xfrm>
                      <a:off x="0" y="0"/>
                      <a:ext cx="3732184" cy="221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7A5" w:rsidRDefault="00C007A5" w:rsidP="00C007A5">
      <w:pPr>
        <w:pStyle w:val="a3"/>
        <w:spacing w:after="0" w:afterAutospacing="0"/>
        <w:jc w:val="center"/>
        <w:rPr>
          <w:color w:val="000000"/>
          <w:sz w:val="20"/>
          <w:szCs w:val="20"/>
        </w:rPr>
      </w:pPr>
      <w:r w:rsidRPr="00F85498">
        <w:rPr>
          <w:rFonts w:ascii="Arial" w:hAnsi="Arial" w:cs="Arial"/>
          <w:b/>
          <w:bCs/>
          <w:sz w:val="20"/>
          <w:szCs w:val="20"/>
        </w:rPr>
        <w:lastRenderedPageBreak/>
        <w:t>Деловая активность организаций</w:t>
      </w:r>
      <w:r w:rsidRPr="004B1153">
        <w:rPr>
          <w:rFonts w:ascii="Arial" w:hAnsi="Arial" w:cs="Arial"/>
          <w:bCs/>
          <w:sz w:val="20"/>
          <w:szCs w:val="20"/>
        </w:rPr>
        <w:t xml:space="preserve"> </w:t>
      </w:r>
      <w:r w:rsidRPr="00F85498">
        <w:rPr>
          <w:color w:val="000000"/>
          <w:sz w:val="20"/>
          <w:szCs w:val="20"/>
        </w:rPr>
        <w:t> </w:t>
      </w:r>
    </w:p>
    <w:p w:rsidR="00C007A5" w:rsidRDefault="00C007A5" w:rsidP="004272E4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4163E0">
        <w:rPr>
          <w:rFonts w:ascii="Arial" w:hAnsi="Arial" w:cs="Arial"/>
          <w:bCs/>
          <w:sz w:val="20"/>
          <w:szCs w:val="20"/>
        </w:rPr>
        <w:t xml:space="preserve">Обследование </w:t>
      </w:r>
      <w:r w:rsidR="008A6792">
        <w:rPr>
          <w:rFonts w:ascii="Arial" w:hAnsi="Arial" w:cs="Arial"/>
          <w:bCs/>
          <w:sz w:val="20"/>
          <w:szCs w:val="20"/>
        </w:rPr>
        <w:t>Росстат</w:t>
      </w:r>
      <w:r w:rsidR="00E92C52">
        <w:rPr>
          <w:rFonts w:ascii="Arial" w:hAnsi="Arial" w:cs="Arial"/>
          <w:bCs/>
          <w:sz w:val="20"/>
          <w:szCs w:val="20"/>
        </w:rPr>
        <w:t>ом</w:t>
      </w:r>
      <w:r w:rsidR="008A6792">
        <w:rPr>
          <w:rFonts w:ascii="Arial" w:hAnsi="Arial" w:cs="Arial"/>
          <w:bCs/>
          <w:sz w:val="20"/>
          <w:szCs w:val="20"/>
        </w:rPr>
        <w:t xml:space="preserve"> </w:t>
      </w:r>
      <w:r w:rsidRPr="004163E0">
        <w:rPr>
          <w:rFonts w:ascii="Arial" w:hAnsi="Arial" w:cs="Arial"/>
          <w:bCs/>
          <w:sz w:val="20"/>
          <w:szCs w:val="20"/>
        </w:rPr>
        <w:t xml:space="preserve">деловой активности </w:t>
      </w:r>
      <w:r w:rsidR="008A6792" w:rsidRPr="004163E0">
        <w:rPr>
          <w:rFonts w:ascii="Arial" w:hAnsi="Arial" w:cs="Arial"/>
          <w:bCs/>
          <w:sz w:val="20"/>
          <w:szCs w:val="20"/>
        </w:rPr>
        <w:t xml:space="preserve">по опросу </w:t>
      </w:r>
      <w:r w:rsidRPr="004163E0">
        <w:rPr>
          <w:rFonts w:ascii="Arial" w:hAnsi="Arial" w:cs="Arial"/>
          <w:bCs/>
          <w:sz w:val="20"/>
          <w:szCs w:val="20"/>
        </w:rPr>
        <w:t>руководителей 3,1 тыс. организаций показало, что</w:t>
      </w:r>
      <w:r w:rsidR="0019053D">
        <w:rPr>
          <w:rFonts w:ascii="Arial" w:hAnsi="Arial" w:cs="Arial"/>
          <w:bCs/>
          <w:sz w:val="20"/>
          <w:szCs w:val="20"/>
        </w:rPr>
        <w:t>:</w:t>
      </w:r>
      <w:r w:rsidRPr="004163E0">
        <w:rPr>
          <w:rFonts w:ascii="Arial" w:hAnsi="Arial" w:cs="Arial"/>
          <w:bCs/>
          <w:sz w:val="20"/>
          <w:szCs w:val="20"/>
        </w:rPr>
        <w:t xml:space="preserve"> </w:t>
      </w:r>
      <w:r w:rsidR="0019053D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19053D" w:rsidRPr="00550695" w:rsidRDefault="0019053D" w:rsidP="00550695">
      <w:pPr>
        <w:pStyle w:val="a8"/>
        <w:numPr>
          <w:ilvl w:val="0"/>
          <w:numId w:val="7"/>
        </w:numPr>
        <w:spacing w:after="0" w:line="240" w:lineRule="auto"/>
        <w:ind w:left="0" w:firstLine="273"/>
        <w:jc w:val="both"/>
        <w:rPr>
          <w:rFonts w:ascii="Arial" w:hAnsi="Arial" w:cs="Arial"/>
          <w:sz w:val="20"/>
          <w:szCs w:val="20"/>
        </w:rPr>
      </w:pPr>
      <w:r w:rsidRPr="00550695">
        <w:rPr>
          <w:rFonts w:ascii="Arial" w:hAnsi="Arial" w:cs="Arial"/>
          <w:bCs/>
          <w:sz w:val="20"/>
          <w:szCs w:val="20"/>
        </w:rPr>
        <w:t>Индекс предпринимательской уверенности</w:t>
      </w:r>
      <w:r w:rsidRPr="00550695">
        <w:rPr>
          <w:rFonts w:ascii="Arial" w:hAnsi="Arial" w:cs="Arial"/>
          <w:sz w:val="20"/>
          <w:szCs w:val="20"/>
        </w:rPr>
        <w:t>,</w:t>
      </w:r>
      <w:r w:rsidRPr="00550695">
        <w:rPr>
          <w:rFonts w:ascii="Arial" w:hAnsi="Arial" w:cs="Arial"/>
          <w:b/>
          <w:bCs/>
          <w:sz w:val="20"/>
          <w:szCs w:val="20"/>
        </w:rPr>
        <w:t> </w:t>
      </w:r>
      <w:r w:rsidR="00593089" w:rsidRPr="00550695">
        <w:rPr>
          <w:rFonts w:ascii="Arial" w:hAnsi="Arial" w:cs="Arial"/>
          <w:sz w:val="20"/>
          <w:szCs w:val="20"/>
        </w:rPr>
        <w:t xml:space="preserve">отражающий обобщенное состояние </w:t>
      </w:r>
      <w:r w:rsidRPr="00550695">
        <w:rPr>
          <w:rFonts w:ascii="Arial" w:hAnsi="Arial" w:cs="Arial"/>
          <w:sz w:val="20"/>
          <w:szCs w:val="20"/>
        </w:rPr>
        <w:t xml:space="preserve">предпринимательского поведения, в мае 2016г. по сравнению с декабрем 2015г. повысился в добывающих производствах с (-5%) до (-1%), в обрабатывающих производствах с (-11%) до (-4%), понизился - в производстве и распределении электроэнергии, газа и воды с (2%) </w:t>
      </w:r>
      <w:proofErr w:type="gramStart"/>
      <w:r w:rsidRPr="00550695">
        <w:rPr>
          <w:rFonts w:ascii="Arial" w:hAnsi="Arial" w:cs="Arial"/>
          <w:sz w:val="20"/>
          <w:szCs w:val="20"/>
        </w:rPr>
        <w:t>до</w:t>
      </w:r>
      <w:proofErr w:type="gramEnd"/>
      <w:r w:rsidRPr="00550695">
        <w:rPr>
          <w:rFonts w:ascii="Arial" w:hAnsi="Arial" w:cs="Arial"/>
          <w:sz w:val="20"/>
          <w:szCs w:val="20"/>
        </w:rPr>
        <w:t xml:space="preserve"> (-13%).</w:t>
      </w:r>
    </w:p>
    <w:tbl>
      <w:tblPr>
        <w:tblW w:w="97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"/>
        <w:gridCol w:w="8824"/>
        <w:gridCol w:w="580"/>
      </w:tblGrid>
      <w:tr w:rsidR="00C007A5" w:rsidRPr="00F85498" w:rsidTr="0019053D">
        <w:trPr>
          <w:trHeight w:val="3600"/>
          <w:tblCellSpacing w:w="0" w:type="dxa"/>
          <w:jc w:val="center"/>
        </w:trPr>
        <w:tc>
          <w:tcPr>
            <w:tcW w:w="185" w:type="pct"/>
            <w:hideMark/>
          </w:tcPr>
          <w:p w:rsidR="00F85498" w:rsidRPr="00F85498" w:rsidRDefault="00F85498" w:rsidP="00550695">
            <w:pPr>
              <w:spacing w:after="0" w:line="240" w:lineRule="auto"/>
              <w:ind w:firstLine="27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18" w:type="pct"/>
            <w:hideMark/>
          </w:tcPr>
          <w:p w:rsidR="00C007A5" w:rsidRDefault="0019053D" w:rsidP="00550695">
            <w:pPr>
              <w:spacing w:after="0"/>
              <w:ind w:firstLine="273"/>
            </w:pPr>
            <w:r w:rsidRPr="0019053D">
              <w:rPr>
                <w:noProof/>
                <w:lang w:eastAsia="ru-RU"/>
              </w:rPr>
              <w:drawing>
                <wp:inline distT="0" distB="0" distL="0" distR="0" wp14:anchorId="53655BB4" wp14:editId="727BFBED">
                  <wp:extent cx="5469255" cy="2665730"/>
                  <wp:effectExtent l="0" t="0" r="0" b="1270"/>
                  <wp:docPr id="9" name="Рисунок 9" descr="http://www.gks.ru/bgd/free/B04_03/IssWWW.exe/Stg/d06/Image15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ks.ru/bgd/free/B04_03/IssWWW.exe/Stg/d06/Image15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255" cy="266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hideMark/>
          </w:tcPr>
          <w:p w:rsidR="00C007A5" w:rsidRDefault="00C007A5" w:rsidP="00550695">
            <w:pPr>
              <w:ind w:firstLine="273"/>
            </w:pPr>
          </w:p>
        </w:tc>
      </w:tr>
    </w:tbl>
    <w:p w:rsidR="008A6792" w:rsidRPr="00CF7155" w:rsidRDefault="008A6792" w:rsidP="00550695">
      <w:pPr>
        <w:pStyle w:val="marker-quote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273"/>
        <w:contextualSpacing/>
        <w:jc w:val="both"/>
        <w:rPr>
          <w:bCs/>
          <w:color w:val="000000"/>
          <w:sz w:val="27"/>
          <w:szCs w:val="27"/>
        </w:rPr>
      </w:pPr>
      <w:proofErr w:type="gramStart"/>
      <w:r w:rsidRPr="008A6792">
        <w:rPr>
          <w:rFonts w:ascii="Arial" w:hAnsi="Arial" w:cs="Arial"/>
          <w:bCs/>
          <w:sz w:val="20"/>
          <w:szCs w:val="20"/>
        </w:rPr>
        <w:t>Средний уровень загрузки производственных мощностей, по оценке опрошенных руководителей, в мае 2016</w:t>
      </w:r>
      <w:r w:rsidR="00100E97" w:rsidRPr="00100E97">
        <w:rPr>
          <w:rFonts w:ascii="Arial" w:hAnsi="Arial" w:cs="Arial"/>
          <w:bCs/>
          <w:sz w:val="20"/>
          <w:szCs w:val="20"/>
        </w:rPr>
        <w:t xml:space="preserve"> </w:t>
      </w:r>
      <w:r w:rsidRPr="008A6792">
        <w:rPr>
          <w:rFonts w:ascii="Arial" w:hAnsi="Arial" w:cs="Arial"/>
          <w:bCs/>
          <w:sz w:val="20"/>
          <w:szCs w:val="20"/>
        </w:rPr>
        <w:t>г. составил 63</w:t>
      </w:r>
      <w:r w:rsidR="00100E97" w:rsidRPr="00100E97">
        <w:rPr>
          <w:rFonts w:ascii="Arial" w:hAnsi="Arial" w:cs="Arial"/>
          <w:bCs/>
          <w:sz w:val="20"/>
          <w:szCs w:val="20"/>
        </w:rPr>
        <w:t xml:space="preserve"> </w:t>
      </w:r>
      <w:r w:rsidRPr="008A6792">
        <w:rPr>
          <w:rFonts w:ascii="Arial" w:hAnsi="Arial" w:cs="Arial"/>
          <w:bCs/>
          <w:sz w:val="20"/>
          <w:szCs w:val="20"/>
        </w:rPr>
        <w:t>%. 91</w:t>
      </w:r>
      <w:r w:rsidR="00100E97" w:rsidRPr="00100E97">
        <w:rPr>
          <w:rFonts w:ascii="Arial" w:hAnsi="Arial" w:cs="Arial"/>
          <w:bCs/>
          <w:sz w:val="20"/>
          <w:szCs w:val="20"/>
        </w:rPr>
        <w:t xml:space="preserve"> </w:t>
      </w:r>
      <w:r w:rsidRPr="008A6792">
        <w:rPr>
          <w:rFonts w:ascii="Arial" w:hAnsi="Arial" w:cs="Arial"/>
          <w:bCs/>
          <w:sz w:val="20"/>
          <w:szCs w:val="20"/>
        </w:rPr>
        <w:t>% респондентов считают, что их производственные мощности обеспечат удовлетворение ожидаемого в ближайшие 6 месяцев спроса на продукцию, из них 12</w:t>
      </w:r>
      <w:r w:rsidR="00100E97" w:rsidRPr="00100E97">
        <w:rPr>
          <w:rFonts w:ascii="Arial" w:hAnsi="Arial" w:cs="Arial"/>
          <w:bCs/>
          <w:sz w:val="20"/>
          <w:szCs w:val="20"/>
        </w:rPr>
        <w:t xml:space="preserve"> </w:t>
      </w:r>
      <w:r w:rsidRPr="008A6792">
        <w:rPr>
          <w:rFonts w:ascii="Arial" w:hAnsi="Arial" w:cs="Arial"/>
          <w:bCs/>
          <w:sz w:val="20"/>
          <w:szCs w:val="20"/>
        </w:rPr>
        <w:t>% указывают на избыточность имеющихся мощностей.</w:t>
      </w:r>
      <w:proofErr w:type="gramEnd"/>
    </w:p>
    <w:p w:rsidR="00CF7155" w:rsidRDefault="00CF7155" w:rsidP="00CF7155">
      <w:pPr>
        <w:pStyle w:val="marker-quote3"/>
        <w:tabs>
          <w:tab w:val="left" w:pos="426"/>
        </w:tabs>
        <w:spacing w:before="0" w:beforeAutospacing="0" w:after="0" w:afterAutospacing="0"/>
        <w:ind w:left="207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07A5" w:rsidRDefault="00CF7155" w:rsidP="008A6792">
      <w:pPr>
        <w:pStyle w:val="marker-quote3"/>
        <w:spacing w:before="0" w:beforeAutospacing="0" w:after="0" w:afterAutospacing="0"/>
        <w:ind w:firstLine="284"/>
        <w:contextualSpacing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Промышленное производство в</w:t>
      </w:r>
      <w:r w:rsidR="008C2DC2" w:rsidRPr="008C2DC2">
        <w:rPr>
          <w:rFonts w:ascii="Arial" w:hAnsi="Arial" w:cs="Arial"/>
          <w:b/>
          <w:bCs/>
          <w:sz w:val="20"/>
          <w:szCs w:val="20"/>
        </w:rPr>
        <w:t xml:space="preserve"> </w:t>
      </w:r>
      <w:r w:rsidR="008C2DC2" w:rsidRPr="004B1153">
        <w:rPr>
          <w:rFonts w:ascii="Arial" w:hAnsi="Arial" w:cs="Arial"/>
          <w:b/>
          <w:bCs/>
          <w:sz w:val="20"/>
          <w:szCs w:val="20"/>
        </w:rPr>
        <w:t>России</w:t>
      </w:r>
    </w:p>
    <w:p w:rsidR="00312D0A" w:rsidRPr="00E92C52" w:rsidRDefault="00ED0935" w:rsidP="00DF785A">
      <w:pPr>
        <w:pStyle w:val="marker-quote3"/>
        <w:spacing w:before="0" w:beforeAutospacing="0" w:after="240" w:afterAutospacing="0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Рост ВВП </w:t>
      </w:r>
      <w:r w:rsidR="00DB4FB5">
        <w:rPr>
          <w:rFonts w:ascii="Arial" w:hAnsi="Arial" w:cs="Arial"/>
          <w:bCs/>
          <w:sz w:val="20"/>
          <w:szCs w:val="20"/>
        </w:rPr>
        <w:t xml:space="preserve">в добывающих отраслях </w:t>
      </w:r>
      <w:r>
        <w:rPr>
          <w:rFonts w:ascii="Arial" w:hAnsi="Arial" w:cs="Arial"/>
          <w:bCs/>
          <w:sz w:val="20"/>
          <w:szCs w:val="20"/>
        </w:rPr>
        <w:t>составил 1,1 %.</w:t>
      </w:r>
      <w:r w:rsidR="00312D0A">
        <w:rPr>
          <w:rFonts w:ascii="Arial" w:hAnsi="Arial" w:cs="Arial"/>
          <w:bCs/>
          <w:sz w:val="20"/>
          <w:szCs w:val="20"/>
        </w:rPr>
        <w:t xml:space="preserve"> С 20.01.2016 года цены на нефть име</w:t>
      </w:r>
      <w:r w:rsidR="002C2690">
        <w:rPr>
          <w:rFonts w:ascii="Arial" w:hAnsi="Arial" w:cs="Arial"/>
          <w:bCs/>
          <w:sz w:val="20"/>
          <w:szCs w:val="20"/>
        </w:rPr>
        <w:t>ли</w:t>
      </w:r>
      <w:r w:rsidR="00312D0A">
        <w:rPr>
          <w:rFonts w:ascii="Arial" w:hAnsi="Arial" w:cs="Arial"/>
          <w:bCs/>
          <w:sz w:val="20"/>
          <w:szCs w:val="20"/>
        </w:rPr>
        <w:t xml:space="preserve"> общую тенденцию роста: с </w:t>
      </w:r>
      <w:r w:rsidR="00312D0A" w:rsidRPr="00312D0A">
        <w:rPr>
          <w:rFonts w:ascii="Arial" w:hAnsi="Arial" w:cs="Arial"/>
          <w:bCs/>
          <w:sz w:val="20"/>
          <w:szCs w:val="20"/>
        </w:rPr>
        <w:t xml:space="preserve">28.21 </w:t>
      </w:r>
      <w:r w:rsidR="00E527B8">
        <w:rPr>
          <w:rFonts w:ascii="Arial" w:hAnsi="Arial" w:cs="Arial"/>
          <w:bCs/>
          <w:sz w:val="20"/>
          <w:szCs w:val="20"/>
        </w:rPr>
        <w:t xml:space="preserve">долл./баррель </w:t>
      </w:r>
      <w:r w:rsidR="00DF785A">
        <w:rPr>
          <w:rFonts w:ascii="Arial" w:hAnsi="Arial" w:cs="Arial"/>
          <w:bCs/>
          <w:sz w:val="20"/>
          <w:szCs w:val="20"/>
        </w:rPr>
        <w:t xml:space="preserve">нефти </w:t>
      </w:r>
      <w:proofErr w:type="spellStart"/>
      <w:r w:rsidR="00DF785A">
        <w:rPr>
          <w:rFonts w:ascii="Arial" w:hAnsi="Arial" w:cs="Arial"/>
          <w:bCs/>
          <w:sz w:val="20"/>
          <w:szCs w:val="20"/>
          <w:lang w:val="en-US"/>
        </w:rPr>
        <w:t>Brend</w:t>
      </w:r>
      <w:proofErr w:type="spellEnd"/>
      <w:r w:rsidR="00DF785A">
        <w:rPr>
          <w:rFonts w:ascii="Arial" w:hAnsi="Arial" w:cs="Arial"/>
          <w:bCs/>
          <w:sz w:val="20"/>
          <w:szCs w:val="20"/>
        </w:rPr>
        <w:t xml:space="preserve"> </w:t>
      </w:r>
      <w:r w:rsidR="00100E97">
        <w:rPr>
          <w:rFonts w:ascii="Arial" w:hAnsi="Arial" w:cs="Arial"/>
          <w:bCs/>
          <w:sz w:val="20"/>
          <w:szCs w:val="20"/>
        </w:rPr>
        <w:t>до 50</w:t>
      </w:r>
      <w:r w:rsidR="00312D0A">
        <w:rPr>
          <w:rFonts w:ascii="Arial" w:hAnsi="Arial" w:cs="Arial"/>
          <w:bCs/>
          <w:sz w:val="20"/>
          <w:szCs w:val="20"/>
        </w:rPr>
        <w:t>.</w:t>
      </w:r>
      <w:r w:rsidR="00100E97">
        <w:rPr>
          <w:rFonts w:ascii="Arial" w:hAnsi="Arial" w:cs="Arial"/>
          <w:bCs/>
          <w:sz w:val="20"/>
          <w:szCs w:val="20"/>
        </w:rPr>
        <w:t xml:space="preserve">28 долл./баррель 30.05.2016 года, хотя на 01.05.2015 отмечено снижение до 49,22 </w:t>
      </w:r>
      <w:proofErr w:type="spellStart"/>
      <w:proofErr w:type="gramStart"/>
      <w:r w:rsidR="00100E97">
        <w:rPr>
          <w:rFonts w:ascii="Arial" w:hAnsi="Arial" w:cs="Arial"/>
          <w:bCs/>
          <w:sz w:val="20"/>
          <w:szCs w:val="20"/>
        </w:rPr>
        <w:t>долл</w:t>
      </w:r>
      <w:proofErr w:type="spellEnd"/>
      <w:proofErr w:type="gramEnd"/>
      <w:r w:rsidR="00100E97">
        <w:rPr>
          <w:rFonts w:ascii="Arial" w:hAnsi="Arial" w:cs="Arial"/>
          <w:bCs/>
          <w:sz w:val="20"/>
          <w:szCs w:val="20"/>
        </w:rPr>
        <w:t>/баррель</w:t>
      </w:r>
      <w:r w:rsidR="00DF785A">
        <w:rPr>
          <w:rFonts w:ascii="Arial" w:hAnsi="Arial" w:cs="Arial"/>
          <w:bCs/>
          <w:sz w:val="20"/>
          <w:szCs w:val="20"/>
        </w:rPr>
        <w:t>.</w:t>
      </w:r>
    </w:p>
    <w:p w:rsidR="008C2DC2" w:rsidRPr="00CF7155" w:rsidRDefault="00CF7155" w:rsidP="00CF7155">
      <w:pPr>
        <w:pStyle w:val="marker-quote3"/>
        <w:spacing w:before="240" w:beforeAutospacing="0" w:after="0" w:afterAutospacing="0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F7155">
        <w:rPr>
          <w:rFonts w:ascii="Arial" w:hAnsi="Arial" w:cs="Arial"/>
          <w:bCs/>
          <w:sz w:val="20"/>
          <w:szCs w:val="20"/>
        </w:rPr>
        <w:t>Индекс промышленного производства</w:t>
      </w:r>
      <w:proofErr w:type="gramStart"/>
      <w:r w:rsidRPr="00CF7155">
        <w:rPr>
          <w:rFonts w:ascii="Arial" w:hAnsi="Arial" w:cs="Arial"/>
          <w:bCs/>
          <w:sz w:val="20"/>
          <w:szCs w:val="20"/>
          <w:vertAlign w:val="superscript"/>
        </w:rPr>
        <w:t>1</w:t>
      </w:r>
      <w:proofErr w:type="gramEnd"/>
      <w:r w:rsidRPr="00CF7155">
        <w:rPr>
          <w:rFonts w:ascii="Arial" w:hAnsi="Arial" w:cs="Arial"/>
          <w:bCs/>
          <w:sz w:val="20"/>
          <w:szCs w:val="20"/>
          <w:vertAlign w:val="superscript"/>
        </w:rPr>
        <w:t>)</w:t>
      </w:r>
      <w:r w:rsidRPr="00CF7155">
        <w:rPr>
          <w:rFonts w:ascii="Arial" w:hAnsi="Arial" w:cs="Arial"/>
          <w:bCs/>
          <w:sz w:val="20"/>
          <w:szCs w:val="20"/>
        </w:rPr>
        <w:t> в январе-апреле 2016г. по сравнению с январем-апрелем 2015г. составил 99,9%, в апреле 2016г. по сравнению с апрелем 2015г. - 100,5%, по сравнению с мартом 2016г. - 94,4%.</w:t>
      </w:r>
      <w:r w:rsidRPr="00CF71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C2DC2" w:rsidRDefault="00CF7155" w:rsidP="00CF7155">
      <w:pPr>
        <w:pStyle w:val="marker-quote3"/>
        <w:spacing w:before="240" w:beforeAutospacing="0" w:after="0" w:afterAutospacing="0"/>
        <w:ind w:firstLine="284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CF7155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5F3BFE69" wp14:editId="1B9BE700">
            <wp:extent cx="4905375" cy="2687755"/>
            <wp:effectExtent l="0" t="0" r="0" b="0"/>
            <wp:docPr id="10" name="Рисунок 10" descr="http://www.gks.ru/bgd/free/B04_03/IssWWW.exe/Stg/d06/Image5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ks.ru/bgd/free/B04_03/IssWWW.exe/Stg/d06/Image536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6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DC2" w:rsidRPr="004B115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9740F" w:rsidRDefault="00F9740F" w:rsidP="00F9740F">
      <w:pPr>
        <w:pStyle w:val="marker-quote3"/>
        <w:tabs>
          <w:tab w:val="left" w:pos="426"/>
        </w:tabs>
        <w:spacing w:before="0" w:beforeAutospacing="0" w:after="0" w:afterAutospacing="0"/>
        <w:ind w:left="207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:rsidR="00AF5797" w:rsidRPr="00596141" w:rsidRDefault="00CF7155" w:rsidP="00AF5797">
      <w:pPr>
        <w:pStyle w:val="marker-quote3"/>
        <w:tabs>
          <w:tab w:val="left" w:pos="426"/>
        </w:tabs>
        <w:spacing w:before="0" w:beforeAutospacing="0" w:after="0" w:afterAutospacing="0"/>
        <w:ind w:left="207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F9740F">
        <w:rPr>
          <w:rFonts w:ascii="Arial" w:hAnsi="Arial" w:cs="Arial"/>
          <w:bCs/>
          <w:color w:val="000000"/>
          <w:sz w:val="20"/>
          <w:szCs w:val="20"/>
        </w:rPr>
        <w:t>Выпуск важнейших видов продукции по итогам апреля 2016 г</w:t>
      </w:r>
      <w:r w:rsidR="00F9740F">
        <w:rPr>
          <w:rFonts w:ascii="Arial" w:hAnsi="Arial" w:cs="Arial"/>
          <w:bCs/>
          <w:color w:val="000000"/>
          <w:sz w:val="20"/>
          <w:szCs w:val="20"/>
        </w:rPr>
        <w:t>.</w:t>
      </w:r>
      <w:r w:rsidR="00F9740F" w:rsidRPr="00F9740F">
        <w:rPr>
          <w:rFonts w:ascii="Arial" w:hAnsi="Arial" w:cs="Arial"/>
          <w:bCs/>
          <w:color w:val="000000"/>
          <w:sz w:val="20"/>
          <w:szCs w:val="20"/>
        </w:rPr>
        <w:t xml:space="preserve"> -</w:t>
      </w:r>
      <w:r w:rsidR="00F974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11" w:history="1">
        <w:r w:rsidRPr="00F9740F">
          <w:rPr>
            <w:rStyle w:val="a5"/>
            <w:rFonts w:ascii="Arial" w:hAnsi="Arial" w:cs="Arial"/>
            <w:bCs/>
            <w:sz w:val="16"/>
            <w:szCs w:val="16"/>
          </w:rPr>
          <w:t>http://www.gks.ru/bgd/free/B04_03/IssWWW.exe/Stg/d06/94.htm</w:t>
        </w:r>
      </w:hyperlink>
      <w:r w:rsidRPr="00F9740F">
        <w:rPr>
          <w:rFonts w:ascii="Arial" w:hAnsi="Arial" w:cs="Arial"/>
          <w:bCs/>
          <w:color w:val="000000"/>
          <w:sz w:val="16"/>
          <w:szCs w:val="16"/>
        </w:rPr>
        <w:t>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460"/>
        <w:gridCol w:w="962"/>
        <w:gridCol w:w="1326"/>
        <w:gridCol w:w="1390"/>
      </w:tblGrid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Январь-апрель 2016г.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Апрель 2016г. </w:t>
            </w:r>
            <w:proofErr w:type="gramStart"/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% к апрелю 2015г.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Январь-апрель 2016г</w:t>
            </w:r>
            <w:proofErr w:type="gramStart"/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AF57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% к  январю-апрелю 2015г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Уголь, млн.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Нефть добытая, включая газовый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конденсат, млн.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Газ горючий природный (газ естественный), млрд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Руда железная товарная необогащенная, млн.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Материалы строительные нерудные,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106,1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Мясо и субпродукты пищевые убо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йных животных,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тыс.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Мясо и субпродукты пищевые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домашней птицы, млн.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Рыба и 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продукты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рыбные переработанные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 консерв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Масло подсолнечное нерафинир.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 его фракции,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Молоко жидкое обработанное,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Сыры и продукты сырные, тыс.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Мука пшеничная и пшенично-ржаная,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Ткани, млрд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121,2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Спецодежда, млн.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119,1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Обувь, млн.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101,3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Лесоматериалы, продольно распиленные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или расколотые, разделенные на слои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или лущеные, толщиной более 6 мм;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шпалы железнодорожные или трамвайные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деревянные,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непропитанные,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Фанера клееная, состоящая только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из листов древесины,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Блоки дверные в сборе (комплектно),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Целлюлоза древесная и целлюлоза из прочих</w:t>
            </w:r>
          </w:p>
        </w:tc>
        <w:tc>
          <w:tcPr>
            <w:tcW w:w="962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26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390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волокнистых материалов,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Бумага,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102,8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Кокс металлургический из каменного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угля, полученный путем карбонизации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при высокой температуре,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Бензин автомобильный,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101,4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Топливо дизельное,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Пропан и бутан 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сжиженные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106,7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Удобрения минеральные или химические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(в пересчете на 100% питательных веществ),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104,5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Пластмассы в первичных формах,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Материалы лакокрасочные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 основе полимеров,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Химические волокна и нити,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Шины, покрышки и камеры резиновые новые,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Трубы, трубки, шланги, рукава и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фитинги полимерные,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109,5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Плиты, листы, пленка и полосы (ленты)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полимерные, неармированные или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 комбинированные с другими</w:t>
            </w:r>
          </w:p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материалами,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109,3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Материалы для покрытий пола,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стен и потолка полимерные,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рулонах или в форме плиток,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104,7</w:t>
            </w:r>
          </w:p>
        </w:tc>
      </w:tr>
      <w:tr w:rsidR="00D65FA2" w:rsidRPr="00AF5797" w:rsidTr="00C42B74">
        <w:trPr>
          <w:trHeight w:val="818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Стекло листовое термически полированное и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стекло листовое с матовой или полированной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поверхностью, но не обработанное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другим способом,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Кирпич керамический не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огнеупорный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строительный, млрд.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усл.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кирпичей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Блоки керамические строительные для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обычной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кладки-пустотелые или цельные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готовые изделия, млн.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усл.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кирпичей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85,2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Портландцемент, цемент глиноземистый,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цемент шлаковый и аналогичные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цементы гидравлические,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84,9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Конструкции и детали сборные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железобетонные, млн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78,1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Трубы стальные, </w:t>
            </w:r>
            <w:r w:rsidR="00D65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млн. тонн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D65FA2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D65FA2" w:rsidRPr="00AF5797" w:rsidRDefault="00D65FA2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Конструкции строительные сборные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из стали,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62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326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90" w:type="dxa"/>
            <w:vAlign w:val="center"/>
            <w:hideMark/>
          </w:tcPr>
          <w:p w:rsidR="00D65FA2" w:rsidRPr="00AF5797" w:rsidRDefault="00D65FA2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88,2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Двигатели внутреннего сгорания поршневые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 воспламенением от сжатия прочие, 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80,2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Турбины газовые, кроме двигателей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турбореактивных и турбовинтовых,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2,0р.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2,1р.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Тракторы для сельского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 лесного хозяйства прочие,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108,3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1" w:name="RANGE!A84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Станки  металлорежущие, штук</w:t>
            </w:r>
            <w:bookmarkEnd w:id="1"/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Холодильники и морозильники бытовые,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101,4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Электродвигатели мощностью не более 37,5 Вт;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прочие электродвигатели и генераторы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постоянного тока,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101,4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Трансформаторы электрические, млн.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кВ∙А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Изделия медицинские, включая хирургическое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оборудование, ортопедические приспособления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 их составные части, млрд.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Автомобили легковые,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Автобусы, тыс.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Автомобили грузовые (включая шасси)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(кроме автосамосвалов),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E96ADC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E96ADC" w:rsidRPr="00AF5797" w:rsidRDefault="00E96ADC" w:rsidP="00E96ADC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Прицепы общего назначения к грузовым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автомобилям, тыс.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2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26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390" w:type="dxa"/>
            <w:vAlign w:val="center"/>
            <w:hideMark/>
          </w:tcPr>
          <w:p w:rsidR="00E96ADC" w:rsidRPr="00AF5797" w:rsidRDefault="00E96ADC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120,3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Электровозы магистральные, 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73,8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Тепловозы маневровые и промышленные, штук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152,9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Электроэнергия, млрд.</w:t>
            </w:r>
            <w:r w:rsidR="00E96A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кВт·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произведенная</w:t>
            </w:r>
            <w:proofErr w:type="gramEnd"/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электростанциями:</w:t>
            </w:r>
          </w:p>
        </w:tc>
        <w:tc>
          <w:tcPr>
            <w:tcW w:w="962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326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390" w:type="dxa"/>
            <w:vMerge w:val="restart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атомными</w:t>
            </w:r>
          </w:p>
        </w:tc>
        <w:tc>
          <w:tcPr>
            <w:tcW w:w="962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F5797" w:rsidRPr="00AF5797" w:rsidTr="00C42B74">
        <w:trPr>
          <w:trHeight w:val="20"/>
          <w:jc w:val="center"/>
        </w:trPr>
        <w:tc>
          <w:tcPr>
            <w:tcW w:w="646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гидроэлектростанциями</w:t>
            </w:r>
          </w:p>
        </w:tc>
        <w:tc>
          <w:tcPr>
            <w:tcW w:w="962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326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390" w:type="dxa"/>
            <w:vAlign w:val="center"/>
            <w:hideMark/>
          </w:tcPr>
          <w:p w:rsidR="00AF5797" w:rsidRPr="00AF5797" w:rsidRDefault="00AF5797" w:rsidP="00D65FA2">
            <w:pPr>
              <w:pStyle w:val="marker-quote3"/>
              <w:tabs>
                <w:tab w:val="left" w:pos="426"/>
              </w:tabs>
              <w:spacing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57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117,9</w:t>
            </w:r>
          </w:p>
        </w:tc>
      </w:tr>
    </w:tbl>
    <w:p w:rsidR="00596141" w:rsidRPr="00596141" w:rsidRDefault="00596141" w:rsidP="00AF5797">
      <w:pPr>
        <w:pStyle w:val="marker-quote3"/>
        <w:tabs>
          <w:tab w:val="left" w:pos="426"/>
        </w:tabs>
        <w:spacing w:before="0" w:beforeAutospacing="0" w:after="0" w:afterAutospacing="0"/>
        <w:ind w:left="207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596141">
        <w:rPr>
          <w:rFonts w:ascii="Arial" w:hAnsi="Arial" w:cs="Arial"/>
          <w:bCs/>
          <w:color w:val="000000"/>
          <w:sz w:val="20"/>
          <w:szCs w:val="20"/>
        </w:rPr>
        <w:t> </w:t>
      </w:r>
    </w:p>
    <w:p w:rsidR="00D555DA" w:rsidRPr="008A023A" w:rsidRDefault="00E96ADC" w:rsidP="00E96ADC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</w:t>
      </w:r>
      <w:r w:rsidR="004157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финансовой системе</w:t>
      </w:r>
    </w:p>
    <w:p w:rsidR="00415745" w:rsidRPr="003102D5" w:rsidRDefault="003102D5" w:rsidP="003102D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="00415745" w:rsidRPr="0041574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лючевая ставка ЦБ РФ </w:t>
      </w:r>
      <w:r w:rsidRPr="003102D5">
        <w:rPr>
          <w:rFonts w:ascii="Arial" w:eastAsia="Times New Roman" w:hAnsi="Arial" w:cs="Arial"/>
          <w:bCs/>
          <w:sz w:val="20"/>
          <w:szCs w:val="20"/>
          <w:lang w:eastAsia="ru-RU"/>
        </w:rPr>
        <w:t>с 03.08.2015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года на 01.06.2016 года </w:t>
      </w:r>
      <w:r w:rsidR="00415745">
        <w:rPr>
          <w:rFonts w:ascii="Arial" w:eastAsia="Times New Roman" w:hAnsi="Arial" w:cs="Arial"/>
          <w:bCs/>
          <w:sz w:val="20"/>
          <w:szCs w:val="20"/>
          <w:lang w:eastAsia="ru-RU"/>
        </w:rPr>
        <w:t>составляет</w:t>
      </w:r>
      <w:r w:rsidR="00415745" w:rsidRPr="0041574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11,00% годовых</w:t>
      </w:r>
      <w:r w:rsidR="00415745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3102D5" w:rsidRDefault="003102D5" w:rsidP="0041574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Курс доллара США – 66 </w:t>
      </w:r>
      <w:r w:rsidR="00B41EBB">
        <w:rPr>
          <w:rFonts w:ascii="Arial" w:eastAsia="Times New Roman" w:hAnsi="Arial" w:cs="Arial"/>
          <w:sz w:val="20"/>
          <w:szCs w:val="20"/>
          <w:lang w:eastAsia="ru-RU"/>
        </w:rPr>
        <w:t>руб./долл.</w:t>
      </w:r>
      <w:r>
        <w:rPr>
          <w:rFonts w:ascii="Arial" w:eastAsia="Times New Roman" w:hAnsi="Arial" w:cs="Arial"/>
          <w:sz w:val="20"/>
          <w:szCs w:val="20"/>
          <w:lang w:eastAsia="ru-RU"/>
        </w:rPr>
        <w:t>, евро – 73,44 руб./евро</w:t>
      </w:r>
      <w:r w:rsidR="00E823D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823DE" w:rsidRPr="00E823DE" w:rsidRDefault="00E823DE" w:rsidP="00E823DE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3DE">
        <w:rPr>
          <w:rFonts w:ascii="Arial" w:eastAsia="Times New Roman" w:hAnsi="Arial" w:cs="Arial"/>
          <w:sz w:val="20"/>
          <w:szCs w:val="20"/>
          <w:lang w:eastAsia="ru-RU"/>
        </w:rPr>
        <w:t>Международные резервы Российской Федерации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01.01.2016 года по 20.05.2016 года возросли до 388,3 млрд. долл. США.(+5,5%).</w:t>
      </w:r>
    </w:p>
    <w:p w:rsidR="00E823DE" w:rsidRDefault="00D83B88" w:rsidP="0041574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Банковские активы за период с 01.03.2016 года </w:t>
      </w:r>
      <w:r w:rsidR="004A50CD">
        <w:rPr>
          <w:rFonts w:ascii="Arial" w:eastAsia="Times New Roman" w:hAnsi="Arial" w:cs="Arial"/>
          <w:sz w:val="20"/>
          <w:szCs w:val="20"/>
          <w:lang w:eastAsia="ru-RU"/>
        </w:rPr>
        <w:t xml:space="preserve">по 01.03.2016 года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возросли </w:t>
      </w:r>
      <w:r w:rsidR="004A50CD">
        <w:rPr>
          <w:rFonts w:ascii="Arial" w:eastAsia="Times New Roman" w:hAnsi="Arial" w:cs="Arial"/>
          <w:sz w:val="20"/>
          <w:szCs w:val="20"/>
          <w:lang w:eastAsia="ru-RU"/>
        </w:rPr>
        <w:t>с 59,14 трлн. руб. до 83,25 трлн. руб.</w:t>
      </w:r>
    </w:p>
    <w:p w:rsidR="00B41EBB" w:rsidRPr="007F6961" w:rsidRDefault="007F6961" w:rsidP="007F6961">
      <w:pPr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6961">
        <w:rPr>
          <w:rFonts w:ascii="Arial" w:eastAsia="Times New Roman" w:hAnsi="Arial" w:cs="Arial"/>
          <w:sz w:val="20"/>
          <w:szCs w:val="20"/>
          <w:lang w:eastAsia="ru-RU"/>
        </w:rPr>
        <w:t>По данным Банка России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</w:t>
      </w:r>
      <w:r w:rsidR="00B41EBB" w:rsidRPr="007F696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бщие объемы кредитования бизнеса (резидентов РФ)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составили</w:t>
      </w:r>
      <w:r w:rsidRPr="007F696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B41EBB" w:rsidRPr="007F6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B41EBB" w:rsidRPr="007F6961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млн. руб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.</w:t>
      </w:r>
      <w:r w:rsidRPr="007F6961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: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800"/>
        <w:gridCol w:w="866"/>
        <w:gridCol w:w="846"/>
        <w:gridCol w:w="720"/>
        <w:gridCol w:w="720"/>
        <w:gridCol w:w="744"/>
        <w:gridCol w:w="744"/>
        <w:gridCol w:w="744"/>
        <w:gridCol w:w="734"/>
        <w:gridCol w:w="850"/>
        <w:gridCol w:w="754"/>
        <w:gridCol w:w="766"/>
        <w:gridCol w:w="850"/>
      </w:tblGrid>
      <w:tr w:rsidR="00B41EBB" w:rsidRPr="00B41EBB" w:rsidTr="00AD6A35">
        <w:trPr>
          <w:trHeight w:val="300"/>
        </w:trPr>
        <w:tc>
          <w:tcPr>
            <w:tcW w:w="395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7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Обрабатывающие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производства</w:t>
            </w:r>
          </w:p>
        </w:tc>
        <w:tc>
          <w:tcPr>
            <w:tcW w:w="2173" w:type="pct"/>
            <w:gridSpan w:val="6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т.ч.:</w:t>
            </w:r>
            <w:r w:rsidR="00B41EBB"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9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Производство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 распределение электроэнергии, газа и воды</w:t>
            </w:r>
          </w:p>
        </w:tc>
        <w:tc>
          <w:tcPr>
            <w:tcW w:w="372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Сельское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хозяйство, охота и лесное хозяйство</w:t>
            </w:r>
          </w:p>
        </w:tc>
        <w:tc>
          <w:tcPr>
            <w:tcW w:w="378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19" w:type="pct"/>
            <w:vMerge w:val="restar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Операции 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 недвижимым имуществом, аренда и предоставление услуг</w:t>
            </w:r>
          </w:p>
        </w:tc>
      </w:tr>
      <w:tr w:rsidR="00B41EBB" w:rsidRPr="00B41EBB" w:rsidTr="00AD6A35">
        <w:trPr>
          <w:trHeight w:val="1402"/>
        </w:trPr>
        <w:tc>
          <w:tcPr>
            <w:tcW w:w="395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производство пищевых продуктов</w:t>
            </w:r>
          </w:p>
        </w:tc>
        <w:tc>
          <w:tcPr>
            <w:tcW w:w="355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химическое производство</w:t>
            </w:r>
          </w:p>
        </w:tc>
        <w:tc>
          <w:tcPr>
            <w:tcW w:w="367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производс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тво машин и оборудования</w:t>
            </w:r>
          </w:p>
        </w:tc>
        <w:tc>
          <w:tcPr>
            <w:tcW w:w="367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B41EBB" w:rsidP="00AD6A35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 т.ч.</w:t>
            </w: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</w:t>
            </w:r>
            <w:r w:rsidR="00AD6A3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изв</w:t>
            </w: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одство машин и оборудования </w:t>
            </w:r>
            <w:proofErr w:type="gramStart"/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сельского </w:t>
            </w:r>
          </w:p>
        </w:tc>
        <w:tc>
          <w:tcPr>
            <w:tcW w:w="367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</w:t>
            </w:r>
            <w:r w:rsidR="00B41EBB"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ство транспортных средств и оборудования</w:t>
            </w:r>
          </w:p>
        </w:tc>
        <w:tc>
          <w:tcPr>
            <w:tcW w:w="362" w:type="pct"/>
            <w:shd w:val="clear" w:color="auto" w:fill="DAEEF3" w:themeFill="accent5" w:themeFillTint="33"/>
            <w:vAlign w:val="center"/>
            <w:hideMark/>
          </w:tcPr>
          <w:p w:rsidR="00B41EBB" w:rsidRPr="00B41EBB" w:rsidRDefault="00AD6A35" w:rsidP="00B41EBB">
            <w:pPr>
              <w:ind w:left="-142" w:right="-102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 т.ч.</w:t>
            </w:r>
          </w:p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производство автомобилей</w:t>
            </w:r>
          </w:p>
        </w:tc>
        <w:tc>
          <w:tcPr>
            <w:tcW w:w="419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BB" w:rsidRPr="00B41EBB" w:rsidTr="004A50CD">
        <w:trPr>
          <w:trHeight w:val="312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01.01.2014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31582 836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4567 464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1621 899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349 218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444 459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15 019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564 614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157 066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1083 967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637 150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2327 741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1777 010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01.02.2014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2296 013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358 245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115 289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20 960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40 698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52 654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14 414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100 358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26 929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112 295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127 260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01.03.2014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4615 204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703 857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224 688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44 361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75 946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2 007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97 647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27 132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168 341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68 562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270 777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233 499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7475 730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1181 884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400 048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76 772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129 900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162 273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41 319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268 687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129 005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439 550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348 192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01.05.2014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10331 700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1696 887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591 157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112 989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184 581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207 870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52 346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352 979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181 791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616 854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479 617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01.06.2014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12704 591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2068 514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731 886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139 746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225 433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250 478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65 667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402 906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224 105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800 687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606 036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01.01.2015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33241 362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5412 661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2228 739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368 994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518 186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13 766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699 180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201 424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915 241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573 527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1886 793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1679 674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01.02.2015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1530 671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363 268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196 788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26 489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20 841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20 902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31 443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19 832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41 600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49 253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01.03.2015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3547 002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833 851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466 495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61 110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45 279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58 240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16 556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74 259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54 097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98 945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120 241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5885 433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1428 130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830 566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106 622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77 226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2 611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95 529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31 922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126 804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106 241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194 885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199 231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01.05.2015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8454 838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2029 028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1166 769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132 801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130 234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4 301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140 585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46 356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186 323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155 191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306 535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361 246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01.06.2015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10560 765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2586 230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1455 824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163 387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167 999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5 447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181 125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64 083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236 482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196 529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412 931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465 274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01.01.2016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29995 671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7434 593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4086 355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355 693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432 325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14 155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650 277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230 196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773 335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639 837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1269 041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1607 049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01.02.2016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1986 703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511 792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263 705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22 058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24 814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52 095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20 022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54 725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42 773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53 790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81 670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01.03.2016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4176 120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1000 140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513 660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43 849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58 432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3 499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92 693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34 375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125 111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102 412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124 076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197 700</w:t>
            </w:r>
          </w:p>
        </w:tc>
      </w:tr>
      <w:tr w:rsidR="00B41EBB" w:rsidRPr="00B41EBB" w:rsidTr="00AD6A35">
        <w:trPr>
          <w:trHeight w:val="255"/>
        </w:trPr>
        <w:tc>
          <w:tcPr>
            <w:tcW w:w="39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01.04.2016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6782 437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1684 592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906 616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69 645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98 178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6 153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152 456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49 396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205 155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170 534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236 516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305 597</w:t>
            </w:r>
          </w:p>
        </w:tc>
      </w:tr>
      <w:tr w:rsidR="00B41EBB" w:rsidRPr="00B41EBB" w:rsidTr="00AD6A35">
        <w:trPr>
          <w:trHeight w:val="510"/>
        </w:trPr>
        <w:tc>
          <w:tcPr>
            <w:tcW w:w="395" w:type="pct"/>
            <w:vAlign w:val="center"/>
            <w:hideMark/>
          </w:tcPr>
          <w:p w:rsidR="00B41EBB" w:rsidRPr="00B41EBB" w:rsidRDefault="00B41EBB" w:rsidP="007F6961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01.04.2016/01.04.2015</w:t>
            </w:r>
            <w:r w:rsidR="007F69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(индекс)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AD6A3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1,53</w:t>
            </w:r>
          </w:p>
        </w:tc>
      </w:tr>
      <w:tr w:rsidR="00B41EBB" w:rsidRPr="00B41EBB" w:rsidTr="00AD6A35">
        <w:trPr>
          <w:trHeight w:val="417"/>
        </w:trPr>
        <w:tc>
          <w:tcPr>
            <w:tcW w:w="395" w:type="pct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01.04.2016/01.04.2014</w:t>
            </w:r>
            <w:r w:rsidR="007F69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(индекс)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0,88</w:t>
            </w:r>
          </w:p>
        </w:tc>
      </w:tr>
      <w:tr w:rsidR="00B41EBB" w:rsidRPr="00B41EBB" w:rsidTr="00AD6A35">
        <w:trPr>
          <w:trHeight w:val="128"/>
        </w:trPr>
        <w:tc>
          <w:tcPr>
            <w:tcW w:w="395" w:type="pct"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1кв.2016/  1кв.2014</w:t>
            </w:r>
            <w:r w:rsidR="007F69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(индекс)</w:t>
            </w:r>
          </w:p>
        </w:tc>
        <w:tc>
          <w:tcPr>
            <w:tcW w:w="42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41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355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367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36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372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378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19" w:type="pct"/>
            <w:noWrap/>
            <w:vAlign w:val="center"/>
            <w:hideMark/>
          </w:tcPr>
          <w:p w:rsidR="00B41EBB" w:rsidRPr="00B41EBB" w:rsidRDefault="00B41EBB" w:rsidP="00B41EBB">
            <w:pPr>
              <w:ind w:left="-142" w:right="-10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E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0,83</w:t>
            </w:r>
          </w:p>
        </w:tc>
      </w:tr>
    </w:tbl>
    <w:p w:rsidR="00D07C07" w:rsidRDefault="00B41EBB" w:rsidP="0041574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Как видим, 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 xml:space="preserve">по сравнению с 2014 годом произошло резкое падение, обусловленное снижением спроса на продукцию соответствующей отрасли в связи с кризисными событиями в экономике. </w:t>
      </w:r>
      <w:r w:rsidR="00AD6A35">
        <w:rPr>
          <w:rFonts w:ascii="Arial" w:eastAsia="Times New Roman" w:hAnsi="Arial" w:cs="Arial"/>
          <w:sz w:val="20"/>
          <w:szCs w:val="20"/>
          <w:lang w:eastAsia="ru-RU"/>
        </w:rPr>
        <w:t>Однако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AD6A3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>по сравнению с 2015 годом по всем ключевым отраслям, за исключением химической, общий объем кредитования существенно увеличился.</w:t>
      </w:r>
    </w:p>
    <w:p w:rsidR="00FA16EB" w:rsidRDefault="007F6961" w:rsidP="00C2021B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в январе-марте 2016 года кредитные организации предоставили ипотечных жилищных кредитов </w:t>
      </w:r>
      <w:r w:rsidR="00C2021B">
        <w:rPr>
          <w:rFonts w:ascii="Arial" w:eastAsia="Times New Roman" w:hAnsi="Arial" w:cs="Arial"/>
          <w:sz w:val="20"/>
          <w:szCs w:val="20"/>
          <w:lang w:eastAsia="ru-RU"/>
        </w:rPr>
        <w:t xml:space="preserve">(ИЖК) </w:t>
      </w:r>
      <w:r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на общую сумму 323,4 </w:t>
      </w:r>
      <w:proofErr w:type="gramStart"/>
      <w:r w:rsidRPr="007F6961">
        <w:rPr>
          <w:rFonts w:ascii="Arial" w:eastAsia="Times New Roman" w:hAnsi="Arial" w:cs="Arial"/>
          <w:sz w:val="20"/>
          <w:szCs w:val="20"/>
          <w:lang w:eastAsia="ru-RU"/>
        </w:rPr>
        <w:t>млрд</w:t>
      </w:r>
      <w:proofErr w:type="gramEnd"/>
      <w:r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Динамика объема предоставленных в I квартале с. г. ИЖК, в отличие от 2015 года, была положительной: прирост предоставленных средств по сравнению с соответствующим периодом 2015 года составил 48,3%. Прирост по-прежнему обеспечивался исключительно </w:t>
      </w:r>
      <w:proofErr w:type="gramStart"/>
      <w:r w:rsidRPr="007F6961">
        <w:rPr>
          <w:rFonts w:ascii="Arial" w:eastAsia="Times New Roman" w:hAnsi="Arial" w:cs="Arial"/>
          <w:sz w:val="20"/>
          <w:szCs w:val="20"/>
          <w:lang w:eastAsia="ru-RU"/>
        </w:rPr>
        <w:t>предоставленными</w:t>
      </w:r>
      <w:proofErr w:type="gramEnd"/>
      <w:r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 ИЖК в рублях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FA16EB" w:rsidRPr="00FA16E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FA16EB">
        <w:rPr>
          <w:rFonts w:ascii="Arial" w:eastAsia="Times New Roman" w:hAnsi="Arial" w:cs="Arial"/>
          <w:sz w:val="20"/>
          <w:szCs w:val="20"/>
          <w:lang w:eastAsia="ru-RU"/>
        </w:rPr>
        <w:t xml:space="preserve">Средневзвешенная </w:t>
      </w:r>
      <w:r w:rsidR="00FA16EB" w:rsidRPr="007F6961">
        <w:rPr>
          <w:rFonts w:ascii="Arial" w:eastAsia="Times New Roman" w:hAnsi="Arial" w:cs="Arial"/>
          <w:sz w:val="20"/>
          <w:szCs w:val="20"/>
          <w:lang w:eastAsia="ru-RU"/>
        </w:rPr>
        <w:t>ставка по ИЖК в рублях, выданным в ма</w:t>
      </w:r>
      <w:r w:rsidR="00FA16EB">
        <w:rPr>
          <w:rFonts w:ascii="Arial" w:eastAsia="Times New Roman" w:hAnsi="Arial" w:cs="Arial"/>
          <w:sz w:val="20"/>
          <w:szCs w:val="20"/>
          <w:lang w:eastAsia="ru-RU"/>
        </w:rPr>
        <w:t>рте 2016 года, составила 12,86%</w:t>
      </w:r>
      <w:r w:rsidR="00FA16EB" w:rsidRPr="00356ED5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gramEnd"/>
    </w:p>
    <w:p w:rsidR="00E2143F" w:rsidRPr="00875472" w:rsidRDefault="00FA16EB" w:rsidP="00C2021B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О</w:t>
      </w:r>
      <w:r w:rsidR="007F6961"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бъем средств в иностранной валюте, сокращающийся третий год подряд, в январе-марте 2016 года уменьшился до 0,3 </w:t>
      </w:r>
      <w:proofErr w:type="gramStart"/>
      <w:r w:rsidR="007F6961" w:rsidRPr="007F6961">
        <w:rPr>
          <w:rFonts w:ascii="Arial" w:eastAsia="Times New Roman" w:hAnsi="Arial" w:cs="Arial"/>
          <w:sz w:val="20"/>
          <w:szCs w:val="20"/>
          <w:lang w:eastAsia="ru-RU"/>
        </w:rPr>
        <w:t>млрд</w:t>
      </w:r>
      <w:proofErr w:type="gramEnd"/>
      <w:r w:rsidR="007F6961" w:rsidRPr="007F6961">
        <w:rPr>
          <w:rFonts w:ascii="Arial" w:eastAsia="Times New Roman" w:hAnsi="Arial" w:cs="Arial"/>
          <w:sz w:val="20"/>
          <w:szCs w:val="20"/>
          <w:lang w:eastAsia="ru-RU"/>
        </w:rPr>
        <w:t xml:space="preserve"> в рублевом эквиваленте, составив 0,1% от объема ИЖК, предоставленных заемщикам с начала года.</w:t>
      </w:r>
      <w:r w:rsidR="00C2021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2284C" w:rsidRDefault="0062284C" w:rsidP="00622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</w:p>
    <w:p w:rsidR="0062284C" w:rsidRPr="00E26329" w:rsidRDefault="00E26329" w:rsidP="00C2021B">
      <w:pPr>
        <w:spacing w:after="0" w:line="240" w:lineRule="auto"/>
        <w:ind w:firstLine="28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26329">
        <w:rPr>
          <w:rFonts w:ascii="Arial" w:hAnsi="Arial" w:cs="Arial"/>
          <w:b/>
          <w:sz w:val="20"/>
          <w:szCs w:val="20"/>
        </w:rPr>
        <w:t>Доходы населения</w:t>
      </w:r>
    </w:p>
    <w:p w:rsidR="00FA16EB" w:rsidRDefault="00E26329" w:rsidP="00FA16EB">
      <w:pPr>
        <w:spacing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Снижение</w:t>
      </w:r>
      <w:r w:rsidR="00356ED5" w:rsidRPr="00356ED5">
        <w:rPr>
          <w:rFonts w:ascii="Arial" w:hAnsi="Arial" w:cs="Arial"/>
          <w:bCs/>
          <w:sz w:val="20"/>
          <w:szCs w:val="20"/>
        </w:rPr>
        <w:t xml:space="preserve"> реальных располагаемых денежных доходов населения </w:t>
      </w:r>
      <w:r>
        <w:rPr>
          <w:rFonts w:ascii="Arial" w:hAnsi="Arial" w:cs="Arial"/>
          <w:bCs/>
          <w:sz w:val="20"/>
          <w:szCs w:val="20"/>
        </w:rPr>
        <w:t xml:space="preserve">за 2015 год </w:t>
      </w:r>
      <w:r w:rsidR="00356ED5" w:rsidRPr="00356ED5">
        <w:rPr>
          <w:rFonts w:ascii="Arial" w:hAnsi="Arial" w:cs="Arial"/>
          <w:bCs/>
          <w:sz w:val="20"/>
          <w:szCs w:val="20"/>
        </w:rPr>
        <w:t>составило 4,0%.</w:t>
      </w:r>
      <w:r w:rsidR="00356ED5">
        <w:rPr>
          <w:rFonts w:ascii="Arial" w:hAnsi="Arial" w:cs="Arial"/>
          <w:bCs/>
          <w:sz w:val="20"/>
          <w:szCs w:val="20"/>
        </w:rPr>
        <w:t xml:space="preserve"> Снижение </w:t>
      </w:r>
      <w:r w:rsidR="005652B3" w:rsidRPr="00356ED5">
        <w:rPr>
          <w:rFonts w:ascii="Arial" w:hAnsi="Arial" w:cs="Arial"/>
          <w:bCs/>
          <w:sz w:val="20"/>
          <w:szCs w:val="20"/>
        </w:rPr>
        <w:t xml:space="preserve"> наблюдается второй год подряд, однако в 2015 году оно было самым глубоким с 1999 года</w:t>
      </w:r>
      <w:r>
        <w:rPr>
          <w:rFonts w:ascii="Arial" w:hAnsi="Arial" w:cs="Arial"/>
          <w:bCs/>
          <w:sz w:val="20"/>
          <w:szCs w:val="20"/>
        </w:rPr>
        <w:t xml:space="preserve"> (Т</w:t>
      </w:r>
      <w:r w:rsidR="005652B3" w:rsidRPr="00356ED5">
        <w:rPr>
          <w:rFonts w:ascii="Arial" w:hAnsi="Arial" w:cs="Arial"/>
          <w:bCs/>
          <w:sz w:val="20"/>
          <w:szCs w:val="20"/>
        </w:rPr>
        <w:t>огда реальные располагаемые доходы населения сократились на 12%</w:t>
      </w:r>
      <w:r>
        <w:rPr>
          <w:rFonts w:ascii="Arial" w:hAnsi="Arial" w:cs="Arial"/>
          <w:bCs/>
          <w:sz w:val="20"/>
          <w:szCs w:val="20"/>
        </w:rPr>
        <w:t xml:space="preserve">). </w:t>
      </w:r>
      <w:r w:rsidR="005652B3" w:rsidRPr="004B1153">
        <w:rPr>
          <w:rFonts w:ascii="Arial" w:hAnsi="Arial" w:cs="Arial"/>
          <w:sz w:val="20"/>
          <w:szCs w:val="20"/>
        </w:rPr>
        <w:t xml:space="preserve">Сокращение реальных располагаемых доходов населения в немалой степени обусловлено девальвацией рубля, которая </w:t>
      </w:r>
      <w:r>
        <w:rPr>
          <w:rFonts w:ascii="Arial" w:hAnsi="Arial" w:cs="Arial"/>
          <w:sz w:val="20"/>
          <w:szCs w:val="20"/>
        </w:rPr>
        <w:t>способствовала</w:t>
      </w:r>
      <w:r w:rsidR="005652B3" w:rsidRPr="004B1153">
        <w:rPr>
          <w:rFonts w:ascii="Arial" w:hAnsi="Arial" w:cs="Arial"/>
          <w:sz w:val="20"/>
          <w:szCs w:val="20"/>
        </w:rPr>
        <w:t xml:space="preserve"> повышени</w:t>
      </w:r>
      <w:r>
        <w:rPr>
          <w:rFonts w:ascii="Arial" w:hAnsi="Arial" w:cs="Arial"/>
          <w:sz w:val="20"/>
          <w:szCs w:val="20"/>
        </w:rPr>
        <w:t>ю</w:t>
      </w:r>
      <w:r w:rsidR="005652B3" w:rsidRPr="004B11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потребительских цен</w:t>
      </w:r>
      <w:r w:rsidR="005652B3" w:rsidRPr="004B11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Сокращение объемов производства</w:t>
      </w:r>
      <w:r w:rsidR="005652B3" w:rsidRPr="004B1153">
        <w:rPr>
          <w:rFonts w:ascii="Arial" w:hAnsi="Arial" w:cs="Arial"/>
          <w:sz w:val="20"/>
          <w:szCs w:val="20"/>
        </w:rPr>
        <w:t xml:space="preserve"> в реальном секторе </w:t>
      </w:r>
      <w:r>
        <w:rPr>
          <w:rFonts w:ascii="Arial" w:hAnsi="Arial" w:cs="Arial"/>
          <w:sz w:val="20"/>
          <w:szCs w:val="20"/>
        </w:rPr>
        <w:t xml:space="preserve">вызвало </w:t>
      </w:r>
      <w:r w:rsidR="005652B3" w:rsidRPr="004B1153">
        <w:rPr>
          <w:rFonts w:ascii="Arial" w:hAnsi="Arial" w:cs="Arial"/>
          <w:sz w:val="20"/>
          <w:szCs w:val="20"/>
        </w:rPr>
        <w:t>увеличение количества безработных</w:t>
      </w:r>
      <w:r>
        <w:rPr>
          <w:rFonts w:ascii="Arial" w:hAnsi="Arial" w:cs="Arial"/>
          <w:sz w:val="20"/>
          <w:szCs w:val="20"/>
        </w:rPr>
        <w:t>, снижение платежеспособности, снижение потребительского кредитования и</w:t>
      </w:r>
      <w:r w:rsidR="0087547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как следствие, снижение</w:t>
      </w:r>
      <w:r w:rsidR="005652B3" w:rsidRPr="004B1153">
        <w:rPr>
          <w:rFonts w:ascii="Arial" w:hAnsi="Arial" w:cs="Arial"/>
          <w:sz w:val="20"/>
          <w:szCs w:val="20"/>
        </w:rPr>
        <w:t xml:space="preserve"> доходов</w:t>
      </w:r>
      <w:r>
        <w:rPr>
          <w:rFonts w:ascii="Arial" w:hAnsi="Arial" w:cs="Arial"/>
          <w:sz w:val="20"/>
          <w:szCs w:val="20"/>
        </w:rPr>
        <w:t xml:space="preserve"> населения</w:t>
      </w:r>
      <w:r w:rsidR="005652B3" w:rsidRPr="004B1153">
        <w:rPr>
          <w:rFonts w:ascii="Arial" w:hAnsi="Arial" w:cs="Arial"/>
          <w:sz w:val="20"/>
          <w:szCs w:val="20"/>
        </w:rPr>
        <w:t>.</w:t>
      </w:r>
      <w:r w:rsidR="00D83B88">
        <w:rPr>
          <w:rFonts w:ascii="Arial" w:hAnsi="Arial" w:cs="Arial"/>
          <w:sz w:val="20"/>
          <w:szCs w:val="20"/>
        </w:rPr>
        <w:t xml:space="preserve"> </w:t>
      </w:r>
    </w:p>
    <w:p w:rsidR="00C007A5" w:rsidRDefault="00D83B88" w:rsidP="00FA16EB">
      <w:pPr>
        <w:spacing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тем, банковские вклады физических лиц увеличились с 16,9 трлн.</w:t>
      </w:r>
      <w:r w:rsidR="004A50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руб. на 01.03.2014 года до почти 23,0 трлн.</w:t>
      </w:r>
      <w:r w:rsidR="004A50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руб. на 01.03.2016 года</w:t>
      </w:r>
      <w:r w:rsidR="00FA16EB">
        <w:rPr>
          <w:rFonts w:ascii="Arial" w:hAnsi="Arial" w:cs="Arial"/>
          <w:sz w:val="20"/>
          <w:szCs w:val="20"/>
        </w:rPr>
        <w:t>, что объясняется общей неуверенностью населения в части расходования своих накоплений.</w:t>
      </w:r>
    </w:p>
    <w:p w:rsidR="00875472" w:rsidRPr="00C007A5" w:rsidRDefault="00875472" w:rsidP="00C007A5">
      <w:pPr>
        <w:spacing w:line="240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  <w:r w:rsidRPr="00875472">
        <w:rPr>
          <w:rFonts w:ascii="Arial" w:hAnsi="Arial" w:cs="Arial"/>
          <w:b/>
          <w:sz w:val="20"/>
          <w:szCs w:val="20"/>
        </w:rPr>
        <w:t>Инвестиции</w:t>
      </w:r>
    </w:p>
    <w:p w:rsidR="005652B3" w:rsidRPr="005518B4" w:rsidRDefault="00526439" w:rsidP="005518B4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По причине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 снижения потребительского спроса </w:t>
      </w:r>
      <w:r w:rsidR="00875472" w:rsidRPr="00875472">
        <w:rPr>
          <w:rFonts w:ascii="Arial" w:hAnsi="Arial" w:cs="Arial"/>
          <w:bCs/>
          <w:sz w:val="20"/>
          <w:szCs w:val="20"/>
        </w:rPr>
        <w:t>прои</w:t>
      </w:r>
      <w:r w:rsidR="00875472">
        <w:rPr>
          <w:rFonts w:ascii="Arial" w:hAnsi="Arial" w:cs="Arial"/>
          <w:bCs/>
          <w:sz w:val="20"/>
          <w:szCs w:val="20"/>
        </w:rPr>
        <w:t>сходит</w:t>
      </w:r>
      <w:r w:rsidR="00875472" w:rsidRPr="00875472">
        <w:rPr>
          <w:rFonts w:ascii="Arial" w:hAnsi="Arial" w:cs="Arial"/>
          <w:bCs/>
          <w:sz w:val="20"/>
          <w:szCs w:val="20"/>
        </w:rPr>
        <w:t xml:space="preserve"> </w:t>
      </w:r>
      <w:r w:rsidR="005652B3" w:rsidRPr="00875472">
        <w:rPr>
          <w:rFonts w:ascii="Arial" w:hAnsi="Arial" w:cs="Arial"/>
          <w:bCs/>
          <w:sz w:val="20"/>
          <w:szCs w:val="20"/>
        </w:rPr>
        <w:t>спад инвестиций</w:t>
      </w:r>
      <w:r w:rsidR="008A0859">
        <w:rPr>
          <w:rFonts w:ascii="Arial" w:hAnsi="Arial" w:cs="Arial"/>
          <w:bCs/>
          <w:sz w:val="20"/>
          <w:szCs w:val="20"/>
        </w:rPr>
        <w:t>.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 </w:t>
      </w:r>
      <w:r w:rsidR="008A0859">
        <w:rPr>
          <w:rFonts w:ascii="Arial" w:hAnsi="Arial" w:cs="Arial"/>
          <w:bCs/>
          <w:sz w:val="20"/>
          <w:szCs w:val="20"/>
        </w:rPr>
        <w:t>П</w:t>
      </w:r>
      <w:r w:rsidR="008A0859" w:rsidRPr="008A0859">
        <w:rPr>
          <w:rFonts w:ascii="Arial" w:hAnsi="Arial" w:cs="Arial"/>
          <w:bCs/>
          <w:sz w:val="20"/>
          <w:szCs w:val="20"/>
        </w:rPr>
        <w:t>о данным Росстата</w:t>
      </w:r>
      <w:r w:rsidR="008A0859">
        <w:rPr>
          <w:rFonts w:ascii="Arial" w:hAnsi="Arial" w:cs="Arial"/>
          <w:bCs/>
          <w:sz w:val="20"/>
          <w:szCs w:val="20"/>
        </w:rPr>
        <w:t>,</w:t>
      </w:r>
      <w:r w:rsidR="008A0859" w:rsidRPr="008A0859">
        <w:rPr>
          <w:rFonts w:ascii="Arial" w:hAnsi="Arial" w:cs="Arial"/>
          <w:bCs/>
          <w:sz w:val="20"/>
          <w:szCs w:val="20"/>
        </w:rPr>
        <w:t xml:space="preserve"> в январе-марте 2016 г. по отношению к январю-марту 2015 г. сокращение </w:t>
      </w:r>
      <w:r w:rsidR="008A0859">
        <w:rPr>
          <w:rFonts w:ascii="Arial" w:hAnsi="Arial" w:cs="Arial"/>
          <w:bCs/>
          <w:sz w:val="20"/>
          <w:szCs w:val="20"/>
        </w:rPr>
        <w:t xml:space="preserve">инвестиций в основной капитал </w:t>
      </w:r>
      <w:r w:rsidR="008A0859" w:rsidRPr="008A0859">
        <w:rPr>
          <w:rFonts w:ascii="Arial" w:hAnsi="Arial" w:cs="Arial"/>
          <w:bCs/>
          <w:sz w:val="20"/>
          <w:szCs w:val="20"/>
        </w:rPr>
        <w:t xml:space="preserve">составило 8,4 </w:t>
      </w:r>
      <w:r w:rsidR="008A0859">
        <w:rPr>
          <w:rFonts w:ascii="Arial" w:hAnsi="Arial" w:cs="Arial"/>
          <w:bCs/>
          <w:sz w:val="20"/>
          <w:szCs w:val="20"/>
        </w:rPr>
        <w:t>%</w:t>
      </w:r>
      <w:r w:rsidR="00875472" w:rsidRPr="00875472">
        <w:rPr>
          <w:rFonts w:ascii="Arial" w:hAnsi="Arial" w:cs="Arial"/>
          <w:bCs/>
          <w:sz w:val="20"/>
          <w:szCs w:val="20"/>
        </w:rPr>
        <w:t xml:space="preserve"> (для сравнения, 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в 2009 году снижение было </w:t>
      </w:r>
      <w:r w:rsidR="00875472" w:rsidRPr="00875472">
        <w:rPr>
          <w:rFonts w:ascii="Arial" w:hAnsi="Arial" w:cs="Arial"/>
          <w:bCs/>
          <w:sz w:val="20"/>
          <w:szCs w:val="20"/>
        </w:rPr>
        <w:t>-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 13,5%</w:t>
      </w:r>
      <w:r w:rsidR="00875472" w:rsidRPr="00875472">
        <w:rPr>
          <w:rFonts w:ascii="Arial" w:hAnsi="Arial" w:cs="Arial"/>
          <w:bCs/>
          <w:sz w:val="20"/>
          <w:szCs w:val="20"/>
        </w:rPr>
        <w:t>)</w:t>
      </w:r>
      <w:r w:rsidR="005652B3" w:rsidRPr="00875472">
        <w:rPr>
          <w:rFonts w:ascii="Arial" w:hAnsi="Arial" w:cs="Arial"/>
          <w:bCs/>
          <w:sz w:val="20"/>
          <w:szCs w:val="20"/>
        </w:rPr>
        <w:t xml:space="preserve">. </w:t>
      </w:r>
      <w:r w:rsidR="00875472">
        <w:rPr>
          <w:rFonts w:ascii="Arial" w:hAnsi="Arial" w:cs="Arial"/>
          <w:bCs/>
          <w:sz w:val="20"/>
          <w:szCs w:val="20"/>
        </w:rPr>
        <w:t>О</w:t>
      </w:r>
      <w:r w:rsidR="005652B3" w:rsidRPr="00875472">
        <w:rPr>
          <w:rFonts w:ascii="Arial" w:hAnsi="Arial" w:cs="Arial"/>
          <w:bCs/>
          <w:sz w:val="20"/>
          <w:szCs w:val="20"/>
        </w:rPr>
        <w:t>трицательная динамика инвестиций сохраняется уже третий год подряд</w:t>
      </w:r>
      <w:r w:rsidR="00875472">
        <w:rPr>
          <w:rFonts w:ascii="Arial" w:hAnsi="Arial" w:cs="Arial"/>
          <w:bCs/>
          <w:sz w:val="20"/>
          <w:szCs w:val="20"/>
        </w:rPr>
        <w:t xml:space="preserve"> и объясняется неопределенностью и неуверенностью в целом по экономике.</w:t>
      </w:r>
      <w:r w:rsidR="00110493">
        <w:rPr>
          <w:rFonts w:ascii="Arial" w:hAnsi="Arial" w:cs="Arial"/>
          <w:bCs/>
          <w:sz w:val="20"/>
          <w:szCs w:val="20"/>
        </w:rPr>
        <w:t xml:space="preserve"> </w:t>
      </w:r>
      <w:r w:rsidR="00110493">
        <w:rPr>
          <w:rFonts w:ascii="Arial" w:hAnsi="Arial" w:cs="Arial"/>
          <w:sz w:val="20"/>
          <w:szCs w:val="20"/>
        </w:rPr>
        <w:t>Одной из причин является</w:t>
      </w:r>
      <w:r w:rsidR="005652B3" w:rsidRPr="004B1153">
        <w:rPr>
          <w:rFonts w:ascii="Arial" w:hAnsi="Arial" w:cs="Arial"/>
          <w:sz w:val="20"/>
          <w:szCs w:val="20"/>
        </w:rPr>
        <w:t xml:space="preserve"> удорожани</w:t>
      </w:r>
      <w:r w:rsidR="00110493">
        <w:rPr>
          <w:rFonts w:ascii="Arial" w:hAnsi="Arial" w:cs="Arial"/>
          <w:sz w:val="20"/>
          <w:szCs w:val="20"/>
        </w:rPr>
        <w:t>е заемного капитала. И</w:t>
      </w:r>
      <w:r w:rsidR="005652B3" w:rsidRPr="004B1153">
        <w:rPr>
          <w:rFonts w:ascii="Arial" w:hAnsi="Arial" w:cs="Arial"/>
          <w:sz w:val="20"/>
          <w:szCs w:val="20"/>
        </w:rPr>
        <w:t xml:space="preserve">ностранный капитал вследствие санкций для многих компаний стал недоступен, </w:t>
      </w:r>
      <w:r w:rsidR="00110493">
        <w:rPr>
          <w:rFonts w:ascii="Arial" w:hAnsi="Arial" w:cs="Arial"/>
          <w:sz w:val="20"/>
          <w:szCs w:val="20"/>
        </w:rPr>
        <w:t>а</w:t>
      </w:r>
      <w:r w:rsidR="005652B3" w:rsidRPr="004B1153">
        <w:rPr>
          <w:rFonts w:ascii="Arial" w:hAnsi="Arial" w:cs="Arial"/>
          <w:sz w:val="20"/>
          <w:szCs w:val="20"/>
        </w:rPr>
        <w:t xml:space="preserve"> кредиты российских банков резко подорожали п</w:t>
      </w:r>
      <w:r w:rsidR="00664C44">
        <w:rPr>
          <w:rFonts w:ascii="Arial" w:hAnsi="Arial" w:cs="Arial"/>
          <w:sz w:val="20"/>
          <w:szCs w:val="20"/>
        </w:rPr>
        <w:t>осле повышения ключевой ставки.</w:t>
      </w:r>
      <w:r w:rsidR="00110493">
        <w:rPr>
          <w:rFonts w:ascii="Arial" w:hAnsi="Arial" w:cs="Arial"/>
          <w:sz w:val="20"/>
          <w:szCs w:val="20"/>
        </w:rPr>
        <w:t xml:space="preserve"> </w:t>
      </w:r>
      <w:r w:rsidR="00664C44">
        <w:rPr>
          <w:rFonts w:ascii="Arial" w:hAnsi="Arial" w:cs="Arial"/>
          <w:sz w:val="20"/>
          <w:szCs w:val="20"/>
        </w:rPr>
        <w:t>И</w:t>
      </w:r>
      <w:r w:rsidR="005652B3" w:rsidRPr="004B1153">
        <w:rPr>
          <w:rFonts w:ascii="Arial" w:hAnsi="Arial" w:cs="Arial"/>
          <w:sz w:val="20"/>
          <w:szCs w:val="20"/>
        </w:rPr>
        <w:t>нвестиционной активности</w:t>
      </w:r>
      <w:r w:rsidR="00110493">
        <w:rPr>
          <w:rFonts w:ascii="Arial" w:hAnsi="Arial" w:cs="Arial"/>
          <w:sz w:val="20"/>
          <w:szCs w:val="20"/>
        </w:rPr>
        <w:t xml:space="preserve"> можно ждать только в условиях политической и экономической стабильности и при снижении ставок по кредитам</w:t>
      </w:r>
      <w:r w:rsidR="005652B3" w:rsidRPr="004B1153">
        <w:rPr>
          <w:rFonts w:ascii="Arial" w:hAnsi="Arial" w:cs="Arial"/>
          <w:sz w:val="20"/>
          <w:szCs w:val="20"/>
        </w:rPr>
        <w:t xml:space="preserve">. </w:t>
      </w:r>
      <w:r w:rsidR="00110493">
        <w:rPr>
          <w:rFonts w:ascii="Arial" w:hAnsi="Arial" w:cs="Arial"/>
          <w:sz w:val="20"/>
          <w:szCs w:val="20"/>
        </w:rPr>
        <w:t>Но пока</w:t>
      </w:r>
      <w:r w:rsidR="005652B3" w:rsidRPr="004B1153">
        <w:rPr>
          <w:rFonts w:ascii="Arial" w:hAnsi="Arial" w:cs="Arial"/>
          <w:sz w:val="20"/>
          <w:szCs w:val="20"/>
        </w:rPr>
        <w:t xml:space="preserve"> </w:t>
      </w:r>
      <w:r w:rsidR="0087417C">
        <w:rPr>
          <w:rFonts w:ascii="Arial" w:hAnsi="Arial" w:cs="Arial"/>
          <w:sz w:val="20"/>
          <w:szCs w:val="20"/>
        </w:rPr>
        <w:t>политиче</w:t>
      </w:r>
      <w:r w:rsidR="002A65D1">
        <w:rPr>
          <w:rFonts w:ascii="Arial" w:hAnsi="Arial" w:cs="Arial"/>
          <w:sz w:val="20"/>
          <w:szCs w:val="20"/>
        </w:rPr>
        <w:t>ская напряженность сохраняется и поддерживается извне</w:t>
      </w:r>
      <w:r w:rsidR="0087417C">
        <w:rPr>
          <w:rFonts w:ascii="Arial" w:hAnsi="Arial" w:cs="Arial"/>
          <w:sz w:val="20"/>
          <w:szCs w:val="20"/>
        </w:rPr>
        <w:t xml:space="preserve">, а </w:t>
      </w:r>
      <w:r w:rsidR="005652B3" w:rsidRPr="004B1153">
        <w:rPr>
          <w:rFonts w:ascii="Arial" w:hAnsi="Arial" w:cs="Arial"/>
          <w:sz w:val="20"/>
          <w:szCs w:val="20"/>
        </w:rPr>
        <w:t xml:space="preserve">понижение ставки маловероятно </w:t>
      </w:r>
      <w:r w:rsidR="00110493">
        <w:rPr>
          <w:rFonts w:ascii="Arial" w:hAnsi="Arial" w:cs="Arial"/>
          <w:sz w:val="20"/>
          <w:szCs w:val="20"/>
        </w:rPr>
        <w:t>в связи с высокими</w:t>
      </w:r>
      <w:r w:rsidR="005652B3" w:rsidRPr="004B1153">
        <w:rPr>
          <w:rFonts w:ascii="Arial" w:hAnsi="Arial" w:cs="Arial"/>
          <w:sz w:val="20"/>
          <w:szCs w:val="20"/>
        </w:rPr>
        <w:t xml:space="preserve"> инфляционны</w:t>
      </w:r>
      <w:r w:rsidR="0087417C">
        <w:rPr>
          <w:rFonts w:ascii="Arial" w:hAnsi="Arial" w:cs="Arial"/>
          <w:sz w:val="20"/>
          <w:szCs w:val="20"/>
        </w:rPr>
        <w:t>ми рисками</w:t>
      </w:r>
      <w:r w:rsidR="005652B3" w:rsidRPr="004B1153">
        <w:rPr>
          <w:rFonts w:ascii="Arial" w:hAnsi="Arial" w:cs="Arial"/>
          <w:sz w:val="20"/>
          <w:szCs w:val="20"/>
        </w:rPr>
        <w:t>.</w:t>
      </w:r>
    </w:p>
    <w:p w:rsidR="005518B4" w:rsidRDefault="0005622B" w:rsidP="00D23C92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5518B4" w:rsidRPr="005518B4">
        <w:rPr>
          <w:rFonts w:ascii="Arial" w:hAnsi="Arial" w:cs="Arial"/>
          <w:sz w:val="20"/>
          <w:szCs w:val="20"/>
        </w:rPr>
        <w:t>ост экономики США в</w:t>
      </w:r>
      <w:r w:rsidR="00593089">
        <w:rPr>
          <w:rFonts w:ascii="Arial" w:hAnsi="Arial" w:cs="Arial"/>
          <w:sz w:val="20"/>
          <w:szCs w:val="20"/>
        </w:rPr>
        <w:t xml:space="preserve"> начале II квартала</w:t>
      </w:r>
      <w:r>
        <w:rPr>
          <w:rFonts w:ascii="Arial" w:hAnsi="Arial" w:cs="Arial"/>
          <w:sz w:val="20"/>
          <w:szCs w:val="20"/>
        </w:rPr>
        <w:t xml:space="preserve"> и</w:t>
      </w:r>
      <w:r w:rsidR="00593089">
        <w:rPr>
          <w:rFonts w:ascii="Arial" w:hAnsi="Arial" w:cs="Arial"/>
          <w:sz w:val="20"/>
          <w:szCs w:val="20"/>
        </w:rPr>
        <w:t xml:space="preserve"> стабилиза</w:t>
      </w:r>
      <w:r w:rsidR="005518B4" w:rsidRPr="005518B4">
        <w:rPr>
          <w:rFonts w:ascii="Arial" w:hAnsi="Arial" w:cs="Arial"/>
          <w:sz w:val="20"/>
          <w:szCs w:val="20"/>
        </w:rPr>
        <w:t>ция темпов роста в других странах, включая</w:t>
      </w:r>
      <w:r w:rsidR="00593089">
        <w:rPr>
          <w:rFonts w:ascii="Arial" w:hAnsi="Arial" w:cs="Arial"/>
          <w:sz w:val="20"/>
          <w:szCs w:val="20"/>
        </w:rPr>
        <w:t xml:space="preserve"> Китай, могут побудить ФРС к </w:t>
      </w:r>
      <w:r w:rsidR="005518B4" w:rsidRPr="005518B4">
        <w:rPr>
          <w:rFonts w:ascii="Arial" w:hAnsi="Arial" w:cs="Arial"/>
          <w:sz w:val="20"/>
          <w:szCs w:val="20"/>
        </w:rPr>
        <w:t>повышени</w:t>
      </w:r>
      <w:r w:rsidR="00593089">
        <w:rPr>
          <w:rFonts w:ascii="Arial" w:hAnsi="Arial" w:cs="Arial"/>
          <w:sz w:val="20"/>
          <w:szCs w:val="20"/>
        </w:rPr>
        <w:t xml:space="preserve">ю </w:t>
      </w:r>
      <w:r w:rsidR="005518B4" w:rsidRPr="005518B4">
        <w:rPr>
          <w:rFonts w:ascii="Arial" w:hAnsi="Arial" w:cs="Arial"/>
          <w:sz w:val="20"/>
          <w:szCs w:val="20"/>
        </w:rPr>
        <w:t>ключевой ст</w:t>
      </w:r>
      <w:r w:rsidR="00593089">
        <w:rPr>
          <w:rFonts w:ascii="Arial" w:hAnsi="Arial" w:cs="Arial"/>
          <w:sz w:val="20"/>
          <w:szCs w:val="20"/>
        </w:rPr>
        <w:t xml:space="preserve">авки. Это </w:t>
      </w:r>
      <w:r w:rsidR="005518B4" w:rsidRPr="005518B4">
        <w:rPr>
          <w:rFonts w:ascii="Arial" w:hAnsi="Arial" w:cs="Arial"/>
          <w:sz w:val="20"/>
          <w:szCs w:val="20"/>
        </w:rPr>
        <w:t xml:space="preserve">создает </w:t>
      </w:r>
      <w:r w:rsidR="00593089" w:rsidRPr="005518B4">
        <w:rPr>
          <w:rFonts w:ascii="Arial" w:hAnsi="Arial" w:cs="Arial"/>
          <w:sz w:val="20"/>
          <w:szCs w:val="20"/>
        </w:rPr>
        <w:t>риски оттока капитала с рынк</w:t>
      </w:r>
      <w:r w:rsidR="00593089">
        <w:rPr>
          <w:rFonts w:ascii="Arial" w:hAnsi="Arial" w:cs="Arial"/>
          <w:sz w:val="20"/>
          <w:szCs w:val="20"/>
        </w:rPr>
        <w:t>а России</w:t>
      </w:r>
      <w:r w:rsidR="00593089" w:rsidRPr="005518B4">
        <w:rPr>
          <w:rFonts w:ascii="Arial" w:hAnsi="Arial" w:cs="Arial"/>
          <w:sz w:val="20"/>
          <w:szCs w:val="20"/>
        </w:rPr>
        <w:t>.</w:t>
      </w:r>
    </w:p>
    <w:p w:rsidR="00D058FC" w:rsidRDefault="00C007A5" w:rsidP="00717B8C">
      <w:pPr>
        <w:spacing w:before="240" w:after="0" w:line="240" w:lineRule="auto"/>
        <w:ind w:firstLine="284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</w:t>
      </w:r>
      <w:r w:rsidRPr="00C2138D">
        <w:rPr>
          <w:rFonts w:ascii="Arial" w:hAnsi="Arial" w:cs="Arial"/>
          <w:b/>
          <w:sz w:val="20"/>
          <w:szCs w:val="20"/>
        </w:rPr>
        <w:t>троительств</w:t>
      </w:r>
      <w:r>
        <w:rPr>
          <w:rFonts w:ascii="Arial" w:hAnsi="Arial" w:cs="Arial"/>
          <w:b/>
          <w:sz w:val="20"/>
          <w:szCs w:val="20"/>
        </w:rPr>
        <w:t>о</w:t>
      </w:r>
      <w:r w:rsidR="00717B8C">
        <w:rPr>
          <w:rFonts w:ascii="Arial" w:hAnsi="Arial" w:cs="Arial"/>
          <w:b/>
          <w:sz w:val="20"/>
          <w:szCs w:val="20"/>
        </w:rPr>
        <w:t xml:space="preserve"> </w:t>
      </w:r>
    </w:p>
    <w:p w:rsidR="00717B8C" w:rsidRDefault="00717B8C" w:rsidP="00717B8C">
      <w:pPr>
        <w:spacing w:before="240" w:after="0" w:line="240" w:lineRule="auto"/>
        <w:ind w:firstLine="284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717B8C">
        <w:rPr>
          <w:rFonts w:ascii="TimesNewRomanPSMT" w:hAnsi="TimesNewRomanPSMT" w:cs="TimesNewRomanPSMT"/>
          <w:sz w:val="20"/>
          <w:szCs w:val="20"/>
        </w:rPr>
        <w:t>В I кв</w:t>
      </w:r>
      <w:r w:rsidR="00526439">
        <w:rPr>
          <w:rFonts w:ascii="TimesNewRomanPSMT" w:hAnsi="TimesNewRomanPSMT" w:cs="TimesNewRomanPSMT"/>
          <w:sz w:val="20"/>
          <w:szCs w:val="20"/>
        </w:rPr>
        <w:t>.</w:t>
      </w:r>
      <w:r w:rsidRPr="00717B8C">
        <w:rPr>
          <w:rFonts w:ascii="TimesNewRomanPSMT" w:hAnsi="TimesNewRomanPSMT" w:cs="TimesNewRomanPSMT"/>
          <w:sz w:val="20"/>
          <w:szCs w:val="20"/>
        </w:rPr>
        <w:t xml:space="preserve"> 2016г. введено в эксплуатацию квартир общей площадью 15,6 млн.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кв.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метров, что составило 83,7% к соответствующему периоду предыдущего года (в I квартале 2015г. было введено 18,6 млн.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кв.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метров жилья, 133,5% к I кварталу 2014 года).</w:t>
      </w:r>
      <w:r>
        <w:rPr>
          <w:rFonts w:ascii="TimesNewRomanPSMT" w:hAnsi="TimesNewRomanPSMT" w:cs="TimesNewRomanPSMT"/>
          <w:sz w:val="20"/>
          <w:szCs w:val="20"/>
        </w:rPr>
        <w:t xml:space="preserve"> И</w:t>
      </w:r>
      <w:r w:rsidRPr="00717B8C">
        <w:rPr>
          <w:rFonts w:ascii="TimesNewRomanPSMT" w:hAnsi="TimesNewRomanPSMT" w:cs="TimesNewRomanPSMT"/>
          <w:sz w:val="20"/>
          <w:szCs w:val="20"/>
        </w:rPr>
        <w:t>ндивидуальными застройщиками введено 48,9 тыс. жилых домов общей площадью 6,3 млн.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кв.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7B8C">
        <w:rPr>
          <w:rFonts w:ascii="TimesNewRomanPSMT" w:hAnsi="TimesNewRomanPSMT" w:cs="TimesNewRomanPSMT"/>
          <w:sz w:val="20"/>
          <w:szCs w:val="20"/>
        </w:rPr>
        <w:t>метров, что составило 65,6% к I кварталу 2015 года. При этом доля индивидуального домостроения в общей площади завершенного строительств</w:t>
      </w:r>
      <w:r>
        <w:rPr>
          <w:rFonts w:ascii="TimesNewRomanPSMT" w:hAnsi="TimesNewRomanPSMT" w:cs="TimesNewRomanPSMT"/>
          <w:sz w:val="20"/>
          <w:szCs w:val="20"/>
        </w:rPr>
        <w:t>а</w:t>
      </w:r>
      <w:r w:rsidRPr="00717B8C">
        <w:rPr>
          <w:rFonts w:ascii="TimesNewRomanPSMT" w:hAnsi="TimesNewRomanPSMT" w:cs="TimesNewRomanPSMT"/>
          <w:sz w:val="20"/>
          <w:szCs w:val="20"/>
        </w:rPr>
        <w:t xml:space="preserve"> жилья составила: в целом по России - 40,5%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717B8C" w:rsidRDefault="00717B8C" w:rsidP="00717B8C">
      <w:pPr>
        <w:spacing w:before="240" w:after="0" w:line="240" w:lineRule="auto"/>
        <w:ind w:firstLine="284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(По субъектам РФ - </w:t>
      </w:r>
      <w:hyperlink r:id="rId12" w:history="1">
        <w:r w:rsidRPr="00BD3B2E">
          <w:rPr>
            <w:rStyle w:val="a5"/>
            <w:rFonts w:ascii="TimesNewRomanPSMT" w:hAnsi="TimesNewRomanPSMT" w:cs="TimesNewRomanPSMT"/>
            <w:sz w:val="20"/>
            <w:szCs w:val="20"/>
          </w:rPr>
          <w:t>http://www.gks.ru/bgd/free/B04_03/IssWWW.exe/Stg/d06/81.htm</w:t>
        </w:r>
      </w:hyperlink>
      <w:r>
        <w:rPr>
          <w:rFonts w:ascii="TimesNewRomanPSMT" w:hAnsi="TimesNewRomanPSMT" w:cs="TimesNewRomanPSMT"/>
          <w:sz w:val="20"/>
          <w:szCs w:val="20"/>
        </w:rPr>
        <w:t xml:space="preserve">) </w:t>
      </w:r>
    </w:p>
    <w:p w:rsidR="00717B8C" w:rsidRDefault="00717B8C" w:rsidP="00717B8C">
      <w:pPr>
        <w:spacing w:before="240" w:after="0" w:line="240" w:lineRule="auto"/>
        <w:ind w:firstLine="284"/>
        <w:contextualSpacing/>
        <w:jc w:val="center"/>
        <w:rPr>
          <w:noProof/>
          <w:lang w:eastAsia="ru-RU"/>
        </w:rPr>
      </w:pPr>
    </w:p>
    <w:p w:rsidR="00717B8C" w:rsidRPr="00D058FC" w:rsidRDefault="00717B8C" w:rsidP="00717B8C">
      <w:pPr>
        <w:spacing w:before="240" w:after="0" w:line="240" w:lineRule="auto"/>
        <w:ind w:firstLine="284"/>
        <w:contextualSpacing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259B37F" wp14:editId="4647B324">
            <wp:extent cx="5248275" cy="2219325"/>
            <wp:effectExtent l="0" t="0" r="9525" b="9525"/>
            <wp:docPr id="8" name="Рисунок 8" descr="http://www.gks.ru/bgd/free/B04_03/IssWWW.exe/Stg/d06/Image1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ks.ru/bgd/free/B04_03/IssWWW.exe/Stg/d06/Image151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0" r="4836" b="8646"/>
                    <a:stretch/>
                  </pic:blipFill>
                  <pic:spPr bwMode="auto">
                    <a:xfrm>
                      <a:off x="0" y="0"/>
                      <a:ext cx="5248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7A5" w:rsidRPr="004B1153" w:rsidRDefault="00C007A5" w:rsidP="00D058FC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В</w:t>
      </w:r>
      <w:r w:rsidRPr="004B1153">
        <w:rPr>
          <w:rFonts w:ascii="Arial" w:hAnsi="Arial" w:cs="Arial"/>
          <w:bCs/>
          <w:iCs/>
          <w:sz w:val="20"/>
          <w:szCs w:val="20"/>
        </w:rPr>
        <w:t xml:space="preserve"> начале года </w:t>
      </w:r>
      <w:r w:rsidRPr="004B1153">
        <w:rPr>
          <w:rFonts w:ascii="Arial" w:hAnsi="Arial" w:cs="Arial"/>
          <w:bCs/>
          <w:sz w:val="20"/>
          <w:szCs w:val="20"/>
        </w:rPr>
        <w:t xml:space="preserve">Правительство продлило программу льготной ипотеки до конца 2016 года. </w:t>
      </w:r>
      <w:r w:rsidRPr="004B1153">
        <w:rPr>
          <w:rFonts w:ascii="Arial" w:hAnsi="Arial" w:cs="Arial"/>
          <w:sz w:val="20"/>
          <w:szCs w:val="20"/>
        </w:rPr>
        <w:t>На программу предусмотрено до 16,5 миллиарда рублей</w:t>
      </w:r>
      <w:r w:rsidR="004272E4">
        <w:rPr>
          <w:rFonts w:ascii="Arial" w:hAnsi="Arial" w:cs="Arial"/>
          <w:sz w:val="20"/>
          <w:szCs w:val="20"/>
        </w:rPr>
        <w:t xml:space="preserve"> бюджетных средств</w:t>
      </w:r>
      <w:r w:rsidRPr="004B1153">
        <w:rPr>
          <w:rFonts w:ascii="Arial" w:hAnsi="Arial" w:cs="Arial"/>
          <w:sz w:val="20"/>
          <w:szCs w:val="20"/>
        </w:rPr>
        <w:t xml:space="preserve">. Для </w:t>
      </w:r>
      <w:r>
        <w:rPr>
          <w:rFonts w:ascii="Arial" w:hAnsi="Arial" w:cs="Arial"/>
          <w:sz w:val="20"/>
          <w:szCs w:val="20"/>
        </w:rPr>
        <w:t xml:space="preserve">участия в программе </w:t>
      </w:r>
      <w:r w:rsidRPr="004B1153">
        <w:rPr>
          <w:rFonts w:ascii="Arial" w:hAnsi="Arial" w:cs="Arial"/>
          <w:sz w:val="20"/>
          <w:szCs w:val="20"/>
        </w:rPr>
        <w:t>субсиди</w:t>
      </w:r>
      <w:r>
        <w:rPr>
          <w:rFonts w:ascii="Arial" w:hAnsi="Arial" w:cs="Arial"/>
          <w:sz w:val="20"/>
          <w:szCs w:val="20"/>
        </w:rPr>
        <w:t>рования</w:t>
      </w:r>
      <w:r w:rsidRPr="004B1153">
        <w:rPr>
          <w:rFonts w:ascii="Arial" w:hAnsi="Arial" w:cs="Arial"/>
          <w:sz w:val="20"/>
          <w:szCs w:val="20"/>
        </w:rPr>
        <w:t xml:space="preserve"> коммерческие банки должны сохранить максимальную годовую ставку при выдаче ипотечных кредитов в </w:t>
      </w:r>
      <w:r>
        <w:rPr>
          <w:rFonts w:ascii="Arial" w:hAnsi="Arial" w:cs="Arial"/>
          <w:sz w:val="20"/>
          <w:szCs w:val="20"/>
        </w:rPr>
        <w:t xml:space="preserve">пределах </w:t>
      </w:r>
      <w:r w:rsidRPr="004B1153">
        <w:rPr>
          <w:rFonts w:ascii="Arial" w:hAnsi="Arial" w:cs="Arial"/>
          <w:sz w:val="20"/>
          <w:szCs w:val="20"/>
        </w:rPr>
        <w:t xml:space="preserve">12 %. Для населения </w:t>
      </w:r>
      <w:r w:rsidR="00526439">
        <w:rPr>
          <w:rFonts w:ascii="Arial" w:hAnsi="Arial" w:cs="Arial"/>
          <w:sz w:val="20"/>
          <w:szCs w:val="20"/>
        </w:rPr>
        <w:t>ставки сохраняются не выше 12 %</w:t>
      </w:r>
      <w:r w:rsidRPr="004B11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О</w:t>
      </w:r>
      <w:r w:rsidRPr="004B1153">
        <w:rPr>
          <w:rFonts w:ascii="Arial" w:hAnsi="Arial" w:cs="Arial"/>
          <w:bCs/>
          <w:sz w:val="20"/>
          <w:szCs w:val="20"/>
        </w:rPr>
        <w:t xml:space="preserve">бъем выдачи ипотеки планируется поддержать на уровне </w:t>
      </w:r>
      <w:r w:rsidRPr="004B1153">
        <w:rPr>
          <w:rFonts w:ascii="Arial" w:hAnsi="Arial" w:cs="Arial"/>
          <w:sz w:val="20"/>
          <w:szCs w:val="20"/>
        </w:rPr>
        <w:t>900 миллиардов — 1 триллион рублей. В прошлом году объем выдачи превысил 1,1 триллиона. Субсидирование ипотеки поможет поддержать интерес населения к покупке жилья. В 2014 и 2015 годах было введено примерно одинаковое количество жилья — около 84 миллионов</w:t>
      </w:r>
      <w:r w:rsidR="004272E4" w:rsidRPr="004272E4">
        <w:rPr>
          <w:rFonts w:ascii="Arial" w:hAnsi="Arial" w:cs="Arial"/>
          <w:sz w:val="20"/>
          <w:szCs w:val="20"/>
        </w:rPr>
        <w:t xml:space="preserve"> </w:t>
      </w:r>
      <w:r w:rsidR="004272E4" w:rsidRPr="004B1153">
        <w:rPr>
          <w:rFonts w:ascii="Arial" w:hAnsi="Arial" w:cs="Arial"/>
          <w:sz w:val="20"/>
          <w:szCs w:val="20"/>
        </w:rPr>
        <w:t>квадратных метров</w:t>
      </w:r>
      <w:r w:rsidRPr="004B1153">
        <w:rPr>
          <w:rFonts w:ascii="Arial" w:hAnsi="Arial" w:cs="Arial"/>
          <w:sz w:val="20"/>
          <w:szCs w:val="20"/>
        </w:rPr>
        <w:t xml:space="preserve">. Но в 2015 году в единицах квартир было продано на 10% процентов больше, рост объемов ввода жилья </w:t>
      </w:r>
      <w:proofErr w:type="gramStart"/>
      <w:r w:rsidRPr="004B1153">
        <w:rPr>
          <w:rFonts w:ascii="Arial" w:hAnsi="Arial" w:cs="Arial"/>
          <w:sz w:val="20"/>
          <w:szCs w:val="20"/>
        </w:rPr>
        <w:t>эконом-класса</w:t>
      </w:r>
      <w:proofErr w:type="gramEnd"/>
      <w:r w:rsidRPr="004B1153">
        <w:rPr>
          <w:rFonts w:ascii="Arial" w:hAnsi="Arial" w:cs="Arial"/>
          <w:sz w:val="20"/>
          <w:szCs w:val="20"/>
        </w:rPr>
        <w:t xml:space="preserve"> превысил 30%, стали строить больше однокомн</w:t>
      </w:r>
      <w:r w:rsidR="00526439">
        <w:rPr>
          <w:rFonts w:ascii="Arial" w:hAnsi="Arial" w:cs="Arial"/>
          <w:sz w:val="20"/>
          <w:szCs w:val="20"/>
        </w:rPr>
        <w:t>атных квартир и квартир-студий.</w:t>
      </w:r>
      <w:r w:rsidRPr="004B1153">
        <w:rPr>
          <w:rFonts w:ascii="Arial" w:hAnsi="Arial" w:cs="Arial"/>
          <w:sz w:val="20"/>
          <w:szCs w:val="20"/>
        </w:rPr>
        <w:t xml:space="preserve"> </w:t>
      </w:r>
      <w:r w:rsidRPr="004B1153">
        <w:rPr>
          <w:rFonts w:ascii="Arial" w:hAnsi="Arial" w:cs="Arial"/>
          <w:bCs/>
          <w:sz w:val="20"/>
          <w:szCs w:val="20"/>
        </w:rPr>
        <w:t>Регионам</w:t>
      </w:r>
      <w:r w:rsidRPr="004B1153">
        <w:rPr>
          <w:rFonts w:ascii="Arial" w:hAnsi="Arial" w:cs="Arial"/>
          <w:sz w:val="20"/>
          <w:szCs w:val="20"/>
        </w:rPr>
        <w:t xml:space="preserve">, участвующим в программе </w:t>
      </w:r>
      <w:r w:rsidRPr="004B1153">
        <w:rPr>
          <w:rFonts w:ascii="Arial" w:hAnsi="Arial" w:cs="Arial"/>
          <w:bCs/>
          <w:sz w:val="20"/>
          <w:szCs w:val="20"/>
        </w:rPr>
        <w:t>"Жилье для российской семьи"</w:t>
      </w:r>
      <w:r w:rsidRPr="004B1153">
        <w:rPr>
          <w:rFonts w:ascii="Arial" w:hAnsi="Arial" w:cs="Arial"/>
          <w:sz w:val="20"/>
          <w:szCs w:val="20"/>
        </w:rPr>
        <w:t>, будут выделены компенсации за квадратный метр введенного жилья в части инженерной инфраструктуры. Заявленная цена в 35000 руб./</w:t>
      </w:r>
      <w:proofErr w:type="spellStart"/>
      <w:r w:rsidRPr="004B1153">
        <w:rPr>
          <w:rFonts w:ascii="Arial" w:hAnsi="Arial" w:cs="Arial"/>
          <w:sz w:val="20"/>
          <w:szCs w:val="20"/>
        </w:rPr>
        <w:t>кв.м</w:t>
      </w:r>
      <w:proofErr w:type="spellEnd"/>
      <w:r w:rsidRPr="004B1153">
        <w:rPr>
          <w:rFonts w:ascii="Arial" w:hAnsi="Arial" w:cs="Arial"/>
          <w:sz w:val="20"/>
          <w:szCs w:val="20"/>
        </w:rPr>
        <w:t xml:space="preserve">. для покупателей </w:t>
      </w:r>
      <w:r w:rsidR="004272E4">
        <w:rPr>
          <w:rFonts w:ascii="Arial" w:hAnsi="Arial" w:cs="Arial"/>
          <w:sz w:val="20"/>
          <w:szCs w:val="20"/>
        </w:rPr>
        <w:t>пока</w:t>
      </w:r>
      <w:r w:rsidR="004272E4" w:rsidRPr="004B1153">
        <w:rPr>
          <w:rFonts w:ascii="Arial" w:hAnsi="Arial" w:cs="Arial"/>
          <w:sz w:val="20"/>
          <w:szCs w:val="20"/>
        </w:rPr>
        <w:t xml:space="preserve"> </w:t>
      </w:r>
      <w:r w:rsidRPr="004B1153">
        <w:rPr>
          <w:rFonts w:ascii="Arial" w:hAnsi="Arial" w:cs="Arial"/>
          <w:sz w:val="20"/>
          <w:szCs w:val="20"/>
        </w:rPr>
        <w:t>остается</w:t>
      </w:r>
      <w:r w:rsidR="004272E4">
        <w:rPr>
          <w:rFonts w:ascii="Arial" w:hAnsi="Arial" w:cs="Arial"/>
          <w:sz w:val="20"/>
          <w:szCs w:val="20"/>
        </w:rPr>
        <w:t xml:space="preserve"> неизменной.</w:t>
      </w:r>
      <w:r w:rsidR="00424310">
        <w:rPr>
          <w:rFonts w:ascii="Arial" w:hAnsi="Arial" w:cs="Arial"/>
          <w:sz w:val="20"/>
          <w:szCs w:val="20"/>
        </w:rPr>
        <w:t xml:space="preserve"> Москва в этой программе не участвует.</w:t>
      </w:r>
    </w:p>
    <w:p w:rsidR="00D91EC6" w:rsidRPr="004B1153" w:rsidRDefault="00D91EC6" w:rsidP="00D91EC6">
      <w:pPr>
        <w:pStyle w:val="a3"/>
        <w:spacing w:before="0" w:beforeAutospacing="0" w:after="0" w:afterAutospacing="0"/>
        <w:ind w:firstLine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10EB9" w:rsidRDefault="00C2138D" w:rsidP="00500A80">
      <w:pPr>
        <w:spacing w:after="0" w:line="240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Выводы и п</w:t>
      </w:r>
      <w:r w:rsidR="005652B3" w:rsidRPr="004B1153">
        <w:rPr>
          <w:rFonts w:ascii="Arial" w:hAnsi="Arial" w:cs="Arial"/>
          <w:b/>
          <w:bCs/>
          <w:sz w:val="20"/>
          <w:szCs w:val="20"/>
        </w:rPr>
        <w:t>рогнозы</w:t>
      </w:r>
    </w:p>
    <w:p w:rsidR="00526439" w:rsidRDefault="00210EB9" w:rsidP="0071098F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</w:t>
      </w:r>
      <w:r w:rsidR="00FF1B9D">
        <w:rPr>
          <w:rFonts w:ascii="Arial" w:hAnsi="Arial" w:cs="Arial"/>
          <w:sz w:val="20"/>
          <w:szCs w:val="20"/>
        </w:rPr>
        <w:t xml:space="preserve">нализ динамики основных показателей экономического развития </w:t>
      </w:r>
      <w:r w:rsidR="005B30E6">
        <w:rPr>
          <w:rFonts w:ascii="Arial" w:hAnsi="Arial" w:cs="Arial"/>
          <w:sz w:val="20"/>
          <w:szCs w:val="20"/>
        </w:rPr>
        <w:t xml:space="preserve">России и причин </w:t>
      </w:r>
      <w:r w:rsidR="00630BA8">
        <w:rPr>
          <w:rFonts w:ascii="Arial" w:hAnsi="Arial" w:cs="Arial"/>
          <w:sz w:val="20"/>
          <w:szCs w:val="20"/>
        </w:rPr>
        <w:t xml:space="preserve">их </w:t>
      </w:r>
      <w:r w:rsidR="005B30E6">
        <w:rPr>
          <w:rFonts w:ascii="Arial" w:hAnsi="Arial" w:cs="Arial"/>
          <w:sz w:val="20"/>
          <w:szCs w:val="20"/>
        </w:rPr>
        <w:t xml:space="preserve">снижения </w:t>
      </w:r>
      <w:r w:rsidR="00FF1B9D">
        <w:rPr>
          <w:rFonts w:ascii="Arial" w:hAnsi="Arial" w:cs="Arial"/>
          <w:sz w:val="20"/>
          <w:szCs w:val="20"/>
        </w:rPr>
        <w:t xml:space="preserve">показывает, что </w:t>
      </w:r>
      <w:r w:rsidR="00A4077C">
        <w:rPr>
          <w:rFonts w:ascii="Arial" w:hAnsi="Arial" w:cs="Arial"/>
          <w:sz w:val="20"/>
          <w:szCs w:val="20"/>
        </w:rPr>
        <w:t xml:space="preserve">векторы </w:t>
      </w:r>
      <w:r w:rsidR="0079678B">
        <w:rPr>
          <w:rFonts w:ascii="Arial" w:hAnsi="Arial" w:cs="Arial"/>
          <w:sz w:val="20"/>
          <w:szCs w:val="20"/>
        </w:rPr>
        <w:t>миров</w:t>
      </w:r>
      <w:r w:rsidR="00A4077C">
        <w:rPr>
          <w:rFonts w:ascii="Arial" w:hAnsi="Arial" w:cs="Arial"/>
          <w:sz w:val="20"/>
          <w:szCs w:val="20"/>
        </w:rPr>
        <w:t>ой</w:t>
      </w:r>
      <w:r w:rsidR="0079678B">
        <w:rPr>
          <w:rFonts w:ascii="Arial" w:hAnsi="Arial" w:cs="Arial"/>
          <w:sz w:val="20"/>
          <w:szCs w:val="20"/>
        </w:rPr>
        <w:t xml:space="preserve"> </w:t>
      </w:r>
      <w:r w:rsidR="005B30E6">
        <w:rPr>
          <w:rFonts w:ascii="Arial" w:hAnsi="Arial" w:cs="Arial"/>
          <w:sz w:val="20"/>
          <w:szCs w:val="20"/>
        </w:rPr>
        <w:t>экономик</w:t>
      </w:r>
      <w:r w:rsidR="00A4077C">
        <w:rPr>
          <w:rFonts w:ascii="Arial" w:hAnsi="Arial" w:cs="Arial"/>
          <w:sz w:val="20"/>
          <w:szCs w:val="20"/>
        </w:rPr>
        <w:t>и</w:t>
      </w:r>
      <w:r w:rsidR="005B30E6">
        <w:rPr>
          <w:rFonts w:ascii="Arial" w:hAnsi="Arial" w:cs="Arial"/>
          <w:sz w:val="20"/>
          <w:szCs w:val="20"/>
        </w:rPr>
        <w:t xml:space="preserve"> </w:t>
      </w:r>
      <w:r w:rsidR="00A4077C">
        <w:rPr>
          <w:rFonts w:ascii="Arial" w:hAnsi="Arial" w:cs="Arial"/>
          <w:sz w:val="20"/>
          <w:szCs w:val="20"/>
        </w:rPr>
        <w:t>задаются международными корпорациями</w:t>
      </w:r>
      <w:r w:rsidR="00363CDE">
        <w:rPr>
          <w:rFonts w:ascii="Arial" w:hAnsi="Arial" w:cs="Arial"/>
          <w:sz w:val="20"/>
          <w:szCs w:val="20"/>
        </w:rPr>
        <w:t xml:space="preserve"> и </w:t>
      </w:r>
      <w:r w:rsidR="00057314">
        <w:rPr>
          <w:rFonts w:ascii="Arial" w:hAnsi="Arial" w:cs="Arial"/>
          <w:sz w:val="20"/>
          <w:szCs w:val="20"/>
        </w:rPr>
        <w:t xml:space="preserve">финансово-промышленными </w:t>
      </w:r>
      <w:r w:rsidR="00363CDE">
        <w:rPr>
          <w:rFonts w:ascii="Arial" w:hAnsi="Arial" w:cs="Arial"/>
          <w:sz w:val="20"/>
          <w:szCs w:val="20"/>
        </w:rPr>
        <w:t>кланами</w:t>
      </w:r>
      <w:r w:rsidR="00A4077C">
        <w:rPr>
          <w:rFonts w:ascii="Arial" w:hAnsi="Arial" w:cs="Arial"/>
          <w:sz w:val="20"/>
          <w:szCs w:val="20"/>
        </w:rPr>
        <w:t>, стре</w:t>
      </w:r>
      <w:r w:rsidR="00363CDE">
        <w:rPr>
          <w:rFonts w:ascii="Arial" w:hAnsi="Arial" w:cs="Arial"/>
          <w:sz w:val="20"/>
          <w:szCs w:val="20"/>
        </w:rPr>
        <w:t>мящимися к глобальному развитию и распространению. Национальные границы, традиции, частные интересы</w:t>
      </w:r>
      <w:r w:rsidR="003C1BB1">
        <w:rPr>
          <w:rFonts w:ascii="Arial" w:hAnsi="Arial" w:cs="Arial"/>
          <w:sz w:val="20"/>
          <w:szCs w:val="20"/>
        </w:rPr>
        <w:t xml:space="preserve"> людей</w:t>
      </w:r>
      <w:r w:rsidR="00E618E6">
        <w:rPr>
          <w:rFonts w:ascii="Arial" w:hAnsi="Arial" w:cs="Arial"/>
          <w:sz w:val="20"/>
          <w:szCs w:val="20"/>
        </w:rPr>
        <w:t>, мелкого и среднего</w:t>
      </w:r>
      <w:r w:rsidR="003C1BB1">
        <w:rPr>
          <w:rFonts w:ascii="Arial" w:hAnsi="Arial" w:cs="Arial"/>
          <w:sz w:val="20"/>
          <w:szCs w:val="20"/>
        </w:rPr>
        <w:t xml:space="preserve"> бизнеса</w:t>
      </w:r>
      <w:r w:rsidR="00363CDE">
        <w:rPr>
          <w:rFonts w:ascii="Arial" w:hAnsi="Arial" w:cs="Arial"/>
          <w:sz w:val="20"/>
          <w:szCs w:val="20"/>
        </w:rPr>
        <w:t>, становящиеся на пути такого распространения, стираются и уничтожаются</w:t>
      </w:r>
      <w:r w:rsidR="00732CDC">
        <w:rPr>
          <w:rFonts w:ascii="Arial" w:hAnsi="Arial" w:cs="Arial"/>
          <w:sz w:val="20"/>
          <w:szCs w:val="20"/>
        </w:rPr>
        <w:t xml:space="preserve"> любыми средствами</w:t>
      </w:r>
      <w:r w:rsidR="00363CDE">
        <w:rPr>
          <w:rFonts w:ascii="Arial" w:hAnsi="Arial" w:cs="Arial"/>
          <w:sz w:val="20"/>
          <w:szCs w:val="20"/>
        </w:rPr>
        <w:t>, чтобы освободить ресурсы для дальнейшего развития крупнейшего финансового и промышленного бизнеса</w:t>
      </w:r>
      <w:r w:rsidR="003C1BB1">
        <w:rPr>
          <w:rFonts w:ascii="Arial" w:hAnsi="Arial" w:cs="Arial"/>
          <w:sz w:val="20"/>
          <w:szCs w:val="20"/>
        </w:rPr>
        <w:t xml:space="preserve">. </w:t>
      </w:r>
      <w:r w:rsidR="00E618E6">
        <w:rPr>
          <w:rFonts w:ascii="Arial" w:hAnsi="Arial" w:cs="Arial"/>
          <w:sz w:val="20"/>
          <w:szCs w:val="20"/>
        </w:rPr>
        <w:t>Свои и других стран п</w:t>
      </w:r>
      <w:r w:rsidR="003C1BB1">
        <w:rPr>
          <w:rFonts w:ascii="Arial" w:hAnsi="Arial" w:cs="Arial"/>
          <w:sz w:val="20"/>
          <w:szCs w:val="20"/>
        </w:rPr>
        <w:t xml:space="preserve">олезные ископаемые, земля, людские ресурсы, </w:t>
      </w:r>
      <w:r w:rsidR="00732CDC">
        <w:rPr>
          <w:rFonts w:ascii="Arial" w:hAnsi="Arial" w:cs="Arial"/>
          <w:sz w:val="20"/>
          <w:szCs w:val="20"/>
        </w:rPr>
        <w:t xml:space="preserve">наука, </w:t>
      </w:r>
      <w:r w:rsidR="003C1BB1">
        <w:rPr>
          <w:rFonts w:ascii="Arial" w:hAnsi="Arial" w:cs="Arial"/>
          <w:sz w:val="20"/>
          <w:szCs w:val="20"/>
        </w:rPr>
        <w:t>потребительские рынки, политические и экономические инструменты власти – вс</w:t>
      </w:r>
      <w:r w:rsidR="00732CDC">
        <w:rPr>
          <w:rFonts w:ascii="Arial" w:hAnsi="Arial" w:cs="Arial"/>
          <w:sz w:val="20"/>
          <w:szCs w:val="20"/>
        </w:rPr>
        <w:t>ё</w:t>
      </w:r>
      <w:r w:rsidR="003C1BB1">
        <w:rPr>
          <w:rFonts w:ascii="Arial" w:hAnsi="Arial" w:cs="Arial"/>
          <w:sz w:val="20"/>
          <w:szCs w:val="20"/>
        </w:rPr>
        <w:t xml:space="preserve"> подчиняется интересам крупного капитала.</w:t>
      </w:r>
      <w:r w:rsidR="00732CDC">
        <w:rPr>
          <w:rFonts w:ascii="Arial" w:hAnsi="Arial" w:cs="Arial"/>
          <w:sz w:val="20"/>
          <w:szCs w:val="20"/>
        </w:rPr>
        <w:t xml:space="preserve"> При этом капитал, как саморазвивающаяся система, действует обезличенно</w:t>
      </w:r>
      <w:r w:rsidR="0071098F">
        <w:rPr>
          <w:rFonts w:ascii="Arial" w:hAnsi="Arial" w:cs="Arial"/>
          <w:sz w:val="20"/>
          <w:szCs w:val="20"/>
        </w:rPr>
        <w:t xml:space="preserve"> и от имени самых мощных в военном плане государств</w:t>
      </w:r>
      <w:r w:rsidR="00732CDC">
        <w:rPr>
          <w:rFonts w:ascii="Arial" w:hAnsi="Arial" w:cs="Arial"/>
          <w:sz w:val="20"/>
          <w:szCs w:val="20"/>
        </w:rPr>
        <w:t xml:space="preserve">, вовлекая </w:t>
      </w:r>
      <w:r w:rsidR="0071098F">
        <w:rPr>
          <w:rFonts w:ascii="Arial" w:hAnsi="Arial" w:cs="Arial"/>
          <w:sz w:val="20"/>
          <w:szCs w:val="20"/>
        </w:rPr>
        <w:t xml:space="preserve">в свою сферу всё более широкие массы ресурсов. В результате мир видит войны, революции, перевороты, волны беженцев, коррумпированные </w:t>
      </w:r>
      <w:r w:rsidR="00D92194">
        <w:rPr>
          <w:rFonts w:ascii="Arial" w:hAnsi="Arial" w:cs="Arial"/>
          <w:sz w:val="20"/>
          <w:szCs w:val="20"/>
        </w:rPr>
        <w:t xml:space="preserve">национальные </w:t>
      </w:r>
      <w:r w:rsidR="0071098F">
        <w:rPr>
          <w:rFonts w:ascii="Arial" w:hAnsi="Arial" w:cs="Arial"/>
          <w:sz w:val="20"/>
          <w:szCs w:val="20"/>
        </w:rPr>
        <w:t xml:space="preserve">правительства, </w:t>
      </w:r>
      <w:r w:rsidR="00D92194">
        <w:rPr>
          <w:rFonts w:ascii="Arial" w:hAnsi="Arial" w:cs="Arial"/>
          <w:sz w:val="20"/>
          <w:szCs w:val="20"/>
        </w:rPr>
        <w:t xml:space="preserve">античеловечные и безнравственные философские и экономические теории, оправдывающие </w:t>
      </w:r>
      <w:proofErr w:type="gramStart"/>
      <w:r w:rsidR="00D92194">
        <w:rPr>
          <w:rFonts w:ascii="Arial" w:hAnsi="Arial" w:cs="Arial"/>
          <w:sz w:val="20"/>
          <w:szCs w:val="20"/>
        </w:rPr>
        <w:t>безграничное</w:t>
      </w:r>
      <w:proofErr w:type="gramEnd"/>
      <w:r w:rsidR="00D92194">
        <w:rPr>
          <w:rFonts w:ascii="Arial" w:hAnsi="Arial" w:cs="Arial"/>
          <w:sz w:val="20"/>
          <w:szCs w:val="20"/>
        </w:rPr>
        <w:t xml:space="preserve"> потребительство и вседозволенность.</w:t>
      </w:r>
    </w:p>
    <w:p w:rsidR="00F72B3F" w:rsidRDefault="00935325" w:rsidP="00500A80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лет назад Россия</w:t>
      </w:r>
      <w:r w:rsidR="002E61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</w:t>
      </w:r>
      <w:r w:rsidR="00D81C47"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 xml:space="preserve"> давлением США, </w:t>
      </w:r>
      <w:r w:rsidR="002E6133">
        <w:rPr>
          <w:rFonts w:ascii="Arial" w:hAnsi="Arial" w:cs="Arial"/>
          <w:sz w:val="20"/>
          <w:szCs w:val="20"/>
        </w:rPr>
        <w:t xml:space="preserve">взяв курс на рыночные отношения, </w:t>
      </w:r>
      <w:r>
        <w:rPr>
          <w:rFonts w:ascii="Arial" w:hAnsi="Arial" w:cs="Arial"/>
          <w:sz w:val="20"/>
          <w:szCs w:val="20"/>
        </w:rPr>
        <w:t xml:space="preserve">разрушила свою государственную </w:t>
      </w:r>
      <w:r w:rsidR="00D81C47">
        <w:rPr>
          <w:rFonts w:ascii="Arial" w:hAnsi="Arial" w:cs="Arial"/>
          <w:sz w:val="20"/>
          <w:szCs w:val="20"/>
        </w:rPr>
        <w:t xml:space="preserve">плановую </w:t>
      </w:r>
      <w:r>
        <w:rPr>
          <w:rFonts w:ascii="Arial" w:hAnsi="Arial" w:cs="Arial"/>
          <w:sz w:val="20"/>
          <w:szCs w:val="20"/>
        </w:rPr>
        <w:t>экономику</w:t>
      </w:r>
      <w:r w:rsidR="00EA5499">
        <w:rPr>
          <w:rFonts w:ascii="Arial" w:hAnsi="Arial" w:cs="Arial"/>
          <w:sz w:val="20"/>
          <w:szCs w:val="20"/>
        </w:rPr>
        <w:t>, понеся колоссальные</w:t>
      </w:r>
      <w:r>
        <w:rPr>
          <w:rFonts w:ascii="Arial" w:hAnsi="Arial" w:cs="Arial"/>
          <w:sz w:val="20"/>
          <w:szCs w:val="20"/>
        </w:rPr>
        <w:t xml:space="preserve"> потер</w:t>
      </w:r>
      <w:r w:rsidR="00EA5499">
        <w:rPr>
          <w:rFonts w:ascii="Arial" w:hAnsi="Arial" w:cs="Arial"/>
          <w:sz w:val="20"/>
          <w:szCs w:val="20"/>
        </w:rPr>
        <w:t>и, сравнимые с мировой войной.</w:t>
      </w:r>
      <w:r>
        <w:rPr>
          <w:rFonts w:ascii="Arial" w:hAnsi="Arial" w:cs="Arial"/>
          <w:sz w:val="20"/>
          <w:szCs w:val="20"/>
        </w:rPr>
        <w:t xml:space="preserve"> </w:t>
      </w:r>
      <w:r w:rsidR="00E46128">
        <w:rPr>
          <w:rFonts w:ascii="Arial" w:hAnsi="Arial" w:cs="Arial"/>
          <w:sz w:val="20"/>
          <w:szCs w:val="20"/>
        </w:rPr>
        <w:t xml:space="preserve">Вся экономика была </w:t>
      </w:r>
      <w:r w:rsidR="00321682">
        <w:rPr>
          <w:rFonts w:ascii="Arial" w:hAnsi="Arial" w:cs="Arial"/>
          <w:sz w:val="20"/>
          <w:szCs w:val="20"/>
        </w:rPr>
        <w:t xml:space="preserve"> </w:t>
      </w:r>
      <w:r w:rsidR="00E46128">
        <w:rPr>
          <w:rFonts w:ascii="Arial" w:hAnsi="Arial" w:cs="Arial"/>
          <w:sz w:val="20"/>
          <w:szCs w:val="20"/>
        </w:rPr>
        <w:t>брошена в стихийный рынок и за 10 лет</w:t>
      </w:r>
      <w:r w:rsidR="00321682">
        <w:rPr>
          <w:rFonts w:ascii="Arial" w:hAnsi="Arial" w:cs="Arial"/>
          <w:sz w:val="20"/>
          <w:szCs w:val="20"/>
        </w:rPr>
        <w:t xml:space="preserve"> практически </w:t>
      </w:r>
      <w:r w:rsidR="00F72B3F">
        <w:rPr>
          <w:rFonts w:ascii="Arial" w:hAnsi="Arial" w:cs="Arial"/>
          <w:sz w:val="20"/>
          <w:szCs w:val="20"/>
        </w:rPr>
        <w:t>уничтожен</w:t>
      </w:r>
      <w:r w:rsidR="005B4CC5">
        <w:rPr>
          <w:rFonts w:ascii="Arial" w:hAnsi="Arial" w:cs="Arial"/>
          <w:sz w:val="20"/>
          <w:szCs w:val="20"/>
        </w:rPr>
        <w:t xml:space="preserve">ы </w:t>
      </w:r>
      <w:r w:rsidR="00EA5499">
        <w:rPr>
          <w:rFonts w:ascii="Arial" w:hAnsi="Arial" w:cs="Arial"/>
          <w:sz w:val="20"/>
          <w:szCs w:val="20"/>
        </w:rPr>
        <w:t>ключевые для любого развитого государства</w:t>
      </w:r>
      <w:r w:rsidR="005B4CC5">
        <w:rPr>
          <w:rFonts w:ascii="Arial" w:hAnsi="Arial" w:cs="Arial"/>
          <w:sz w:val="20"/>
          <w:szCs w:val="20"/>
        </w:rPr>
        <w:t xml:space="preserve"> </w:t>
      </w:r>
      <w:r w:rsidR="00E46128">
        <w:rPr>
          <w:rFonts w:ascii="Arial" w:hAnsi="Arial" w:cs="Arial"/>
          <w:sz w:val="20"/>
          <w:szCs w:val="20"/>
        </w:rPr>
        <w:t>отрасли</w:t>
      </w:r>
      <w:r w:rsidR="005B4CC5">
        <w:rPr>
          <w:rFonts w:ascii="Arial" w:hAnsi="Arial" w:cs="Arial"/>
          <w:sz w:val="20"/>
          <w:szCs w:val="20"/>
        </w:rPr>
        <w:t xml:space="preserve"> (</w:t>
      </w:r>
      <w:r w:rsidR="00E46128">
        <w:rPr>
          <w:rFonts w:ascii="Arial" w:hAnsi="Arial" w:cs="Arial"/>
          <w:sz w:val="20"/>
          <w:szCs w:val="20"/>
        </w:rPr>
        <w:t xml:space="preserve">тяжелая промышленность, </w:t>
      </w:r>
      <w:r w:rsidR="00F72B3F">
        <w:rPr>
          <w:rFonts w:ascii="Arial" w:hAnsi="Arial" w:cs="Arial"/>
          <w:sz w:val="20"/>
          <w:szCs w:val="20"/>
        </w:rPr>
        <w:t xml:space="preserve">станкостроение, </w:t>
      </w:r>
      <w:r w:rsidR="005B4CC5">
        <w:rPr>
          <w:rFonts w:ascii="Arial" w:hAnsi="Arial" w:cs="Arial"/>
          <w:sz w:val="20"/>
          <w:szCs w:val="20"/>
        </w:rPr>
        <w:t>судостроение, самолетостроение)</w:t>
      </w:r>
      <w:r w:rsidR="00E46128">
        <w:rPr>
          <w:rFonts w:ascii="Arial" w:hAnsi="Arial" w:cs="Arial"/>
          <w:sz w:val="20"/>
          <w:szCs w:val="20"/>
        </w:rPr>
        <w:t>, жестоко пострадали сельское хозяйство, легкая и пищевая промышленность. Были разворованы, пошли на лом и уничтожены активы ведущих производств</w:t>
      </w:r>
      <w:r w:rsidR="00EA5499">
        <w:rPr>
          <w:rFonts w:ascii="Arial" w:hAnsi="Arial" w:cs="Arial"/>
          <w:sz w:val="20"/>
          <w:szCs w:val="20"/>
        </w:rPr>
        <w:t>:</w:t>
      </w:r>
      <w:r w:rsidR="00E46128">
        <w:rPr>
          <w:rFonts w:ascii="Arial" w:hAnsi="Arial" w:cs="Arial"/>
          <w:sz w:val="20"/>
          <w:szCs w:val="20"/>
        </w:rPr>
        <w:t xml:space="preserve"> их здания, сооружения, оборудование. </w:t>
      </w:r>
      <w:r w:rsidR="00923689">
        <w:rPr>
          <w:rFonts w:ascii="Arial" w:hAnsi="Arial" w:cs="Arial"/>
          <w:sz w:val="20"/>
          <w:szCs w:val="20"/>
        </w:rPr>
        <w:t>Д</w:t>
      </w:r>
      <w:r w:rsidR="00E11BEA">
        <w:rPr>
          <w:rFonts w:ascii="Arial" w:hAnsi="Arial" w:cs="Arial"/>
          <w:sz w:val="20"/>
          <w:szCs w:val="20"/>
        </w:rPr>
        <w:t>о</w:t>
      </w:r>
      <w:r w:rsidR="00E46128">
        <w:rPr>
          <w:rFonts w:ascii="Arial" w:hAnsi="Arial" w:cs="Arial"/>
          <w:sz w:val="20"/>
          <w:szCs w:val="20"/>
        </w:rPr>
        <w:t xml:space="preserve"> 2007 год</w:t>
      </w:r>
      <w:r w:rsidR="00923689">
        <w:rPr>
          <w:rFonts w:ascii="Arial" w:hAnsi="Arial" w:cs="Arial"/>
          <w:sz w:val="20"/>
          <w:szCs w:val="20"/>
        </w:rPr>
        <w:t>а</w:t>
      </w:r>
      <w:r w:rsidR="00EA5499">
        <w:rPr>
          <w:rFonts w:ascii="Arial" w:hAnsi="Arial" w:cs="Arial"/>
          <w:sz w:val="20"/>
          <w:szCs w:val="20"/>
        </w:rPr>
        <w:t xml:space="preserve"> сформировалась </w:t>
      </w:r>
      <w:r w:rsidR="00923689">
        <w:rPr>
          <w:rFonts w:ascii="Arial" w:hAnsi="Arial" w:cs="Arial"/>
          <w:sz w:val="20"/>
          <w:szCs w:val="20"/>
        </w:rPr>
        <w:t xml:space="preserve">рыночная модель экономики </w:t>
      </w:r>
      <w:r w:rsidR="00E618E6">
        <w:rPr>
          <w:rFonts w:ascii="Arial" w:hAnsi="Arial" w:cs="Arial"/>
          <w:sz w:val="20"/>
          <w:szCs w:val="20"/>
        </w:rPr>
        <w:t xml:space="preserve">с международной специализацией </w:t>
      </w:r>
      <w:r w:rsidR="00EA5499">
        <w:rPr>
          <w:rFonts w:ascii="Arial" w:hAnsi="Arial" w:cs="Arial"/>
          <w:sz w:val="20"/>
          <w:szCs w:val="20"/>
        </w:rPr>
        <w:t>на добывающих и на э</w:t>
      </w:r>
      <w:r w:rsidR="00923689">
        <w:rPr>
          <w:rFonts w:ascii="Arial" w:hAnsi="Arial" w:cs="Arial"/>
          <w:sz w:val="20"/>
          <w:szCs w:val="20"/>
        </w:rPr>
        <w:t>нергетических отраслях</w:t>
      </w:r>
      <w:r w:rsidR="00EA5499">
        <w:rPr>
          <w:rFonts w:ascii="Arial" w:hAnsi="Arial" w:cs="Arial"/>
          <w:sz w:val="20"/>
          <w:szCs w:val="20"/>
        </w:rPr>
        <w:t>.</w:t>
      </w:r>
    </w:p>
    <w:p w:rsidR="00500A80" w:rsidRDefault="00923689" w:rsidP="00FB36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2014 году</w:t>
      </w:r>
      <w:r w:rsidR="00500A8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открыто </w:t>
      </w:r>
      <w:r w:rsidR="00500A80">
        <w:rPr>
          <w:rFonts w:ascii="Arial" w:hAnsi="Arial" w:cs="Arial"/>
          <w:sz w:val="20"/>
          <w:szCs w:val="20"/>
        </w:rPr>
        <w:t>заявив о</w:t>
      </w:r>
      <w:r w:rsidR="00124876">
        <w:rPr>
          <w:rFonts w:ascii="Arial" w:hAnsi="Arial" w:cs="Arial"/>
          <w:sz w:val="20"/>
          <w:szCs w:val="20"/>
        </w:rPr>
        <w:t xml:space="preserve"> защите </w:t>
      </w:r>
      <w:r w:rsidR="00433CE1">
        <w:rPr>
          <w:rFonts w:ascii="Arial" w:hAnsi="Arial" w:cs="Arial"/>
          <w:sz w:val="20"/>
          <w:szCs w:val="20"/>
        </w:rPr>
        <w:t xml:space="preserve">своих </w:t>
      </w:r>
      <w:r w:rsidR="006A6F57">
        <w:rPr>
          <w:rFonts w:ascii="Arial" w:hAnsi="Arial" w:cs="Arial"/>
          <w:sz w:val="20"/>
          <w:szCs w:val="20"/>
        </w:rPr>
        <w:t xml:space="preserve">национальных </w:t>
      </w:r>
      <w:r w:rsidR="00424310">
        <w:rPr>
          <w:rFonts w:ascii="Arial" w:hAnsi="Arial" w:cs="Arial"/>
          <w:sz w:val="20"/>
          <w:szCs w:val="20"/>
        </w:rPr>
        <w:t>интересов</w:t>
      </w:r>
      <w:r w:rsidR="00E618E6">
        <w:rPr>
          <w:rFonts w:ascii="Arial" w:hAnsi="Arial" w:cs="Arial"/>
          <w:sz w:val="20"/>
          <w:szCs w:val="20"/>
        </w:rPr>
        <w:t xml:space="preserve"> на приграничных территориях</w:t>
      </w:r>
      <w:r w:rsidR="00124876">
        <w:rPr>
          <w:rFonts w:ascii="Arial" w:hAnsi="Arial" w:cs="Arial"/>
          <w:sz w:val="20"/>
          <w:szCs w:val="20"/>
        </w:rPr>
        <w:t xml:space="preserve">, </w:t>
      </w:r>
      <w:r w:rsidR="005B4CC5">
        <w:rPr>
          <w:rFonts w:ascii="Arial" w:hAnsi="Arial" w:cs="Arial"/>
          <w:sz w:val="20"/>
          <w:szCs w:val="20"/>
        </w:rPr>
        <w:t>Россия</w:t>
      </w:r>
      <w:r w:rsidR="001248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получила в ответ</w:t>
      </w:r>
      <w:r w:rsidR="00124876">
        <w:rPr>
          <w:rFonts w:ascii="Arial" w:hAnsi="Arial" w:cs="Arial"/>
          <w:sz w:val="20"/>
          <w:szCs w:val="20"/>
        </w:rPr>
        <w:t xml:space="preserve"> </w:t>
      </w:r>
      <w:r w:rsidR="00D25BF9">
        <w:rPr>
          <w:rFonts w:ascii="Arial" w:hAnsi="Arial" w:cs="Arial"/>
          <w:sz w:val="20"/>
          <w:szCs w:val="20"/>
        </w:rPr>
        <w:t>мощно</w:t>
      </w:r>
      <w:r w:rsidR="00500A80">
        <w:rPr>
          <w:rFonts w:ascii="Arial" w:hAnsi="Arial" w:cs="Arial"/>
          <w:sz w:val="20"/>
          <w:szCs w:val="20"/>
        </w:rPr>
        <w:t xml:space="preserve">е </w:t>
      </w:r>
      <w:r w:rsidR="00D25BF9">
        <w:rPr>
          <w:rFonts w:ascii="Arial" w:hAnsi="Arial" w:cs="Arial"/>
          <w:sz w:val="20"/>
          <w:szCs w:val="20"/>
        </w:rPr>
        <w:t>политическо</w:t>
      </w:r>
      <w:r w:rsidR="00500A80">
        <w:rPr>
          <w:rFonts w:ascii="Arial" w:hAnsi="Arial" w:cs="Arial"/>
          <w:sz w:val="20"/>
          <w:szCs w:val="20"/>
        </w:rPr>
        <w:t>е</w:t>
      </w:r>
      <w:r w:rsidR="00D25BF9">
        <w:rPr>
          <w:rFonts w:ascii="Arial" w:hAnsi="Arial" w:cs="Arial"/>
          <w:sz w:val="20"/>
          <w:szCs w:val="20"/>
        </w:rPr>
        <w:t xml:space="preserve"> и экономическо</w:t>
      </w:r>
      <w:r w:rsidR="00500A80">
        <w:rPr>
          <w:rFonts w:ascii="Arial" w:hAnsi="Arial" w:cs="Arial"/>
          <w:sz w:val="20"/>
          <w:szCs w:val="20"/>
        </w:rPr>
        <w:t>е</w:t>
      </w:r>
      <w:r w:rsidR="00D25BF9">
        <w:rPr>
          <w:rFonts w:ascii="Arial" w:hAnsi="Arial" w:cs="Arial"/>
          <w:sz w:val="20"/>
          <w:szCs w:val="20"/>
        </w:rPr>
        <w:t xml:space="preserve"> давлени</w:t>
      </w:r>
      <w:r w:rsidR="00500A80">
        <w:rPr>
          <w:rFonts w:ascii="Arial" w:hAnsi="Arial" w:cs="Arial"/>
          <w:sz w:val="20"/>
          <w:szCs w:val="20"/>
        </w:rPr>
        <w:t xml:space="preserve">е </w:t>
      </w:r>
      <w:r w:rsidR="00433CE1">
        <w:rPr>
          <w:rFonts w:ascii="Arial" w:hAnsi="Arial" w:cs="Arial"/>
          <w:sz w:val="20"/>
          <w:szCs w:val="20"/>
        </w:rPr>
        <w:t>с</w:t>
      </w:r>
      <w:r w:rsidR="00E3679D">
        <w:rPr>
          <w:rFonts w:ascii="Arial" w:hAnsi="Arial" w:cs="Arial"/>
          <w:sz w:val="20"/>
          <w:szCs w:val="20"/>
        </w:rPr>
        <w:t>о</w:t>
      </w:r>
      <w:r w:rsidR="00433C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стороны </w:t>
      </w:r>
      <w:r w:rsidR="00433CE1">
        <w:rPr>
          <w:rFonts w:ascii="Arial" w:hAnsi="Arial" w:cs="Arial"/>
          <w:sz w:val="20"/>
          <w:szCs w:val="20"/>
        </w:rPr>
        <w:t>США</w:t>
      </w:r>
      <w:r w:rsidR="00F72B3F">
        <w:rPr>
          <w:rFonts w:ascii="Arial" w:hAnsi="Arial" w:cs="Arial"/>
          <w:sz w:val="20"/>
          <w:szCs w:val="20"/>
        </w:rPr>
        <w:t xml:space="preserve">. </w:t>
      </w:r>
      <w:r w:rsidR="00433CE1">
        <w:rPr>
          <w:rFonts w:ascii="Arial" w:hAnsi="Arial" w:cs="Arial"/>
          <w:sz w:val="20"/>
          <w:szCs w:val="20"/>
        </w:rPr>
        <w:t>Используя сво</w:t>
      </w:r>
      <w:r w:rsidR="001B7CAF">
        <w:rPr>
          <w:rFonts w:ascii="Arial" w:hAnsi="Arial" w:cs="Arial"/>
          <w:sz w:val="20"/>
          <w:szCs w:val="20"/>
        </w:rPr>
        <w:t>ё</w:t>
      </w:r>
      <w:r w:rsidR="00433CE1">
        <w:rPr>
          <w:rFonts w:ascii="Arial" w:hAnsi="Arial" w:cs="Arial"/>
          <w:sz w:val="20"/>
          <w:szCs w:val="20"/>
        </w:rPr>
        <w:t xml:space="preserve"> лидирующее положение в мировой экономике и финансах и и</w:t>
      </w:r>
      <w:r>
        <w:rPr>
          <w:rFonts w:ascii="Arial" w:hAnsi="Arial" w:cs="Arial"/>
          <w:sz w:val="20"/>
          <w:szCs w:val="20"/>
        </w:rPr>
        <w:t xml:space="preserve">гнорируя </w:t>
      </w:r>
      <w:r w:rsidR="00F72B3F">
        <w:rPr>
          <w:rFonts w:ascii="Arial" w:hAnsi="Arial" w:cs="Arial"/>
          <w:sz w:val="20"/>
          <w:szCs w:val="20"/>
        </w:rPr>
        <w:t>международное экономическое право и частные интересы</w:t>
      </w:r>
      <w:r>
        <w:rPr>
          <w:rFonts w:ascii="Arial" w:hAnsi="Arial" w:cs="Arial"/>
          <w:sz w:val="20"/>
          <w:szCs w:val="20"/>
        </w:rPr>
        <w:t xml:space="preserve"> бизнеса</w:t>
      </w:r>
      <w:r w:rsidR="005B4CC5">
        <w:rPr>
          <w:rFonts w:ascii="Arial" w:hAnsi="Arial" w:cs="Arial"/>
          <w:sz w:val="20"/>
          <w:szCs w:val="20"/>
        </w:rPr>
        <w:t>,</w:t>
      </w:r>
      <w:r w:rsidR="00F72B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США</w:t>
      </w:r>
      <w:r w:rsidR="00433CE1">
        <w:rPr>
          <w:rFonts w:ascii="Arial" w:hAnsi="Arial" w:cs="Arial"/>
          <w:sz w:val="20"/>
          <w:szCs w:val="20"/>
        </w:rPr>
        <w:t xml:space="preserve"> объявили о санкциях и навязали свою волю</w:t>
      </w:r>
      <w:r w:rsidR="00D043D9">
        <w:rPr>
          <w:rFonts w:ascii="Arial" w:hAnsi="Arial" w:cs="Arial"/>
          <w:sz w:val="20"/>
          <w:szCs w:val="20"/>
        </w:rPr>
        <w:t xml:space="preserve"> технологически развитым компаниям</w:t>
      </w:r>
      <w:r>
        <w:rPr>
          <w:rFonts w:ascii="Arial" w:hAnsi="Arial" w:cs="Arial"/>
          <w:sz w:val="20"/>
          <w:szCs w:val="20"/>
        </w:rPr>
        <w:t xml:space="preserve"> </w:t>
      </w:r>
      <w:r w:rsidR="00AE4F15">
        <w:rPr>
          <w:rFonts w:ascii="Arial" w:hAnsi="Arial" w:cs="Arial"/>
          <w:sz w:val="20"/>
          <w:szCs w:val="20"/>
        </w:rPr>
        <w:t xml:space="preserve">мира </w:t>
      </w:r>
      <w:r w:rsidR="00F72B3F">
        <w:rPr>
          <w:rFonts w:ascii="Arial" w:hAnsi="Arial" w:cs="Arial"/>
          <w:sz w:val="20"/>
          <w:szCs w:val="20"/>
        </w:rPr>
        <w:t>пре</w:t>
      </w:r>
      <w:r w:rsidR="005B4CC5">
        <w:rPr>
          <w:rFonts w:ascii="Arial" w:hAnsi="Arial" w:cs="Arial"/>
          <w:sz w:val="20"/>
          <w:szCs w:val="20"/>
        </w:rPr>
        <w:t>кратить</w:t>
      </w:r>
      <w:r w:rsidR="00F72B3F">
        <w:rPr>
          <w:rFonts w:ascii="Arial" w:hAnsi="Arial" w:cs="Arial"/>
          <w:sz w:val="20"/>
          <w:szCs w:val="20"/>
        </w:rPr>
        <w:t xml:space="preserve"> бизнес в России.</w:t>
      </w:r>
      <w:r w:rsidR="00E80BD1">
        <w:rPr>
          <w:rFonts w:ascii="Arial" w:hAnsi="Arial" w:cs="Arial"/>
          <w:sz w:val="20"/>
          <w:szCs w:val="20"/>
        </w:rPr>
        <w:t xml:space="preserve"> В </w:t>
      </w:r>
      <w:r w:rsidR="00433CE1">
        <w:rPr>
          <w:rFonts w:ascii="Arial" w:hAnsi="Arial" w:cs="Arial"/>
          <w:sz w:val="20"/>
          <w:szCs w:val="20"/>
        </w:rPr>
        <w:t>этих</w:t>
      </w:r>
      <w:r w:rsidR="00E80BD1">
        <w:rPr>
          <w:rFonts w:ascii="Arial" w:hAnsi="Arial" w:cs="Arial"/>
          <w:sz w:val="20"/>
          <w:szCs w:val="20"/>
        </w:rPr>
        <w:t xml:space="preserve"> условиях, р</w:t>
      </w:r>
      <w:r w:rsidR="005B4CC5">
        <w:rPr>
          <w:rFonts w:ascii="Arial" w:hAnsi="Arial" w:cs="Arial"/>
          <w:sz w:val="20"/>
          <w:szCs w:val="20"/>
        </w:rPr>
        <w:t xml:space="preserve">азумеется, разрыв экономических отношений </w:t>
      </w:r>
      <w:r w:rsidR="00E80BD1">
        <w:rPr>
          <w:rFonts w:ascii="Arial" w:hAnsi="Arial" w:cs="Arial"/>
          <w:sz w:val="20"/>
          <w:szCs w:val="20"/>
        </w:rPr>
        <w:t xml:space="preserve">с высокотехнологичными компаниями </w:t>
      </w:r>
      <w:r w:rsidR="005B4CC5">
        <w:rPr>
          <w:rFonts w:ascii="Arial" w:hAnsi="Arial" w:cs="Arial"/>
          <w:sz w:val="20"/>
          <w:szCs w:val="20"/>
        </w:rPr>
        <w:t xml:space="preserve">отрицательно отразился на </w:t>
      </w:r>
      <w:r w:rsidR="00321682">
        <w:rPr>
          <w:rFonts w:ascii="Arial" w:hAnsi="Arial" w:cs="Arial"/>
          <w:sz w:val="20"/>
          <w:szCs w:val="20"/>
        </w:rPr>
        <w:t>российской экономик</w:t>
      </w:r>
      <w:r w:rsidR="00E80BD1">
        <w:rPr>
          <w:rFonts w:ascii="Arial" w:hAnsi="Arial" w:cs="Arial"/>
          <w:sz w:val="20"/>
          <w:szCs w:val="20"/>
        </w:rPr>
        <w:t>е</w:t>
      </w:r>
      <w:r w:rsidR="00D043D9">
        <w:rPr>
          <w:rFonts w:ascii="Arial" w:hAnsi="Arial" w:cs="Arial"/>
          <w:sz w:val="20"/>
          <w:szCs w:val="20"/>
        </w:rPr>
        <w:t xml:space="preserve">, </w:t>
      </w:r>
      <w:r w:rsidR="003C3731">
        <w:rPr>
          <w:rFonts w:ascii="Arial" w:hAnsi="Arial" w:cs="Arial"/>
          <w:sz w:val="20"/>
          <w:szCs w:val="20"/>
        </w:rPr>
        <w:t xml:space="preserve">имеющей </w:t>
      </w:r>
      <w:r w:rsidR="00AE4F15">
        <w:rPr>
          <w:rFonts w:ascii="Arial" w:hAnsi="Arial" w:cs="Arial"/>
          <w:sz w:val="20"/>
          <w:szCs w:val="20"/>
        </w:rPr>
        <w:t>ориентированную на</w:t>
      </w:r>
      <w:r w:rsidR="003C3731">
        <w:rPr>
          <w:rFonts w:ascii="Arial" w:hAnsi="Arial" w:cs="Arial"/>
          <w:sz w:val="20"/>
          <w:szCs w:val="20"/>
        </w:rPr>
        <w:t xml:space="preserve"> нефте</w:t>
      </w:r>
      <w:r w:rsidR="00B21533">
        <w:rPr>
          <w:rFonts w:ascii="Arial" w:hAnsi="Arial" w:cs="Arial"/>
          <w:sz w:val="20"/>
          <w:szCs w:val="20"/>
        </w:rPr>
        <w:t>продажу</w:t>
      </w:r>
      <w:r w:rsidR="003C3731">
        <w:rPr>
          <w:rFonts w:ascii="Arial" w:hAnsi="Arial" w:cs="Arial"/>
          <w:sz w:val="20"/>
          <w:szCs w:val="20"/>
        </w:rPr>
        <w:t xml:space="preserve"> структуру</w:t>
      </w:r>
      <w:r w:rsidR="00321682">
        <w:rPr>
          <w:rFonts w:ascii="Arial" w:hAnsi="Arial" w:cs="Arial"/>
          <w:sz w:val="20"/>
          <w:szCs w:val="20"/>
        </w:rPr>
        <w:t xml:space="preserve">. </w:t>
      </w:r>
      <w:r w:rsidR="00E80BD1">
        <w:rPr>
          <w:rFonts w:ascii="Arial" w:hAnsi="Arial" w:cs="Arial"/>
          <w:sz w:val="20"/>
          <w:szCs w:val="20"/>
        </w:rPr>
        <w:t xml:space="preserve">Но </w:t>
      </w:r>
      <w:r w:rsidR="003C3731">
        <w:rPr>
          <w:rFonts w:ascii="Arial" w:hAnsi="Arial" w:cs="Arial"/>
          <w:sz w:val="20"/>
          <w:szCs w:val="20"/>
        </w:rPr>
        <w:t>ещё большее</w:t>
      </w:r>
      <w:r w:rsidR="00E80BD1">
        <w:rPr>
          <w:rFonts w:ascii="Arial" w:hAnsi="Arial" w:cs="Arial"/>
          <w:sz w:val="20"/>
          <w:szCs w:val="20"/>
        </w:rPr>
        <w:t xml:space="preserve"> влияние оказало падение </w:t>
      </w:r>
      <w:r w:rsidR="003C3731">
        <w:rPr>
          <w:rFonts w:ascii="Arial" w:hAnsi="Arial" w:cs="Arial"/>
          <w:sz w:val="20"/>
          <w:szCs w:val="20"/>
        </w:rPr>
        <w:t xml:space="preserve">за короткий срок </w:t>
      </w:r>
      <w:r w:rsidR="00E80BD1">
        <w:rPr>
          <w:rFonts w:ascii="Arial" w:hAnsi="Arial" w:cs="Arial"/>
          <w:sz w:val="20"/>
          <w:szCs w:val="20"/>
        </w:rPr>
        <w:t xml:space="preserve">мировых цен </w:t>
      </w:r>
      <w:r w:rsidR="00433CE1">
        <w:rPr>
          <w:rFonts w:ascii="Arial" w:hAnsi="Arial" w:cs="Arial"/>
          <w:sz w:val="20"/>
          <w:szCs w:val="20"/>
        </w:rPr>
        <w:t xml:space="preserve">на </w:t>
      </w:r>
      <w:r w:rsidR="00E80BD1">
        <w:rPr>
          <w:rFonts w:ascii="Arial" w:hAnsi="Arial" w:cs="Arial"/>
          <w:sz w:val="20"/>
          <w:szCs w:val="20"/>
        </w:rPr>
        <w:t>нефт</w:t>
      </w:r>
      <w:r w:rsidR="00433CE1">
        <w:rPr>
          <w:rFonts w:ascii="Arial" w:hAnsi="Arial" w:cs="Arial"/>
          <w:sz w:val="20"/>
          <w:szCs w:val="20"/>
        </w:rPr>
        <w:t>ь</w:t>
      </w:r>
      <w:r w:rsidR="00E80BD1" w:rsidRPr="00E80BD1">
        <w:rPr>
          <w:rFonts w:ascii="Arial" w:hAnsi="Arial" w:cs="Arial"/>
          <w:sz w:val="20"/>
          <w:szCs w:val="20"/>
        </w:rPr>
        <w:t xml:space="preserve"> </w:t>
      </w:r>
      <w:r w:rsidR="00E80BD1">
        <w:rPr>
          <w:rFonts w:ascii="Arial" w:hAnsi="Arial" w:cs="Arial"/>
          <w:sz w:val="20"/>
          <w:szCs w:val="20"/>
        </w:rPr>
        <w:t>с</w:t>
      </w:r>
      <w:r w:rsidR="001B7CAF">
        <w:rPr>
          <w:rFonts w:ascii="Arial" w:hAnsi="Arial" w:cs="Arial"/>
          <w:sz w:val="20"/>
          <w:szCs w:val="20"/>
        </w:rPr>
        <w:t>о</w:t>
      </w:r>
      <w:r w:rsidR="00E80BD1">
        <w:rPr>
          <w:rFonts w:ascii="Arial" w:hAnsi="Arial" w:cs="Arial"/>
          <w:sz w:val="20"/>
          <w:szCs w:val="20"/>
        </w:rPr>
        <w:t xml:space="preserve"> 11</w:t>
      </w:r>
      <w:r w:rsidR="001B7CAF">
        <w:rPr>
          <w:rFonts w:ascii="Arial" w:hAnsi="Arial" w:cs="Arial"/>
          <w:sz w:val="20"/>
          <w:szCs w:val="20"/>
        </w:rPr>
        <w:t>6</w:t>
      </w:r>
      <w:r w:rsidR="00E80BD1">
        <w:rPr>
          <w:rFonts w:ascii="Arial" w:hAnsi="Arial" w:cs="Arial"/>
          <w:sz w:val="20"/>
          <w:szCs w:val="20"/>
        </w:rPr>
        <w:t xml:space="preserve"> до 28 долл. за баррель. </w:t>
      </w:r>
      <w:r w:rsidR="00800FC8">
        <w:rPr>
          <w:rFonts w:ascii="Arial" w:hAnsi="Arial" w:cs="Arial"/>
          <w:sz w:val="20"/>
          <w:szCs w:val="20"/>
        </w:rPr>
        <w:t>С 2013</w:t>
      </w:r>
      <w:r w:rsidR="000C4BCF">
        <w:rPr>
          <w:rFonts w:ascii="Arial" w:hAnsi="Arial" w:cs="Arial"/>
          <w:sz w:val="20"/>
          <w:szCs w:val="20"/>
        </w:rPr>
        <w:t xml:space="preserve"> год</w:t>
      </w:r>
      <w:r w:rsidR="00800FC8">
        <w:rPr>
          <w:rFonts w:ascii="Arial" w:hAnsi="Arial" w:cs="Arial"/>
          <w:sz w:val="20"/>
          <w:szCs w:val="20"/>
        </w:rPr>
        <w:t xml:space="preserve">а </w:t>
      </w:r>
      <w:r w:rsidR="00E80BD1">
        <w:rPr>
          <w:rFonts w:ascii="Arial" w:hAnsi="Arial" w:cs="Arial"/>
          <w:sz w:val="20"/>
          <w:szCs w:val="20"/>
        </w:rPr>
        <w:t xml:space="preserve">США </w:t>
      </w:r>
      <w:r w:rsidR="00E618E6">
        <w:rPr>
          <w:rFonts w:ascii="Arial" w:hAnsi="Arial" w:cs="Arial"/>
          <w:sz w:val="20"/>
          <w:szCs w:val="20"/>
        </w:rPr>
        <w:t xml:space="preserve">за счет сланцевой нефти </w:t>
      </w:r>
      <w:r w:rsidR="00A45088">
        <w:rPr>
          <w:rFonts w:ascii="Arial" w:hAnsi="Arial" w:cs="Arial"/>
          <w:sz w:val="20"/>
          <w:szCs w:val="20"/>
        </w:rPr>
        <w:t>(</w:t>
      </w:r>
      <w:r w:rsidR="00A45088" w:rsidRPr="00A45088">
        <w:rPr>
          <w:rFonts w:ascii="Arial" w:hAnsi="Arial" w:cs="Arial"/>
          <w:sz w:val="20"/>
          <w:szCs w:val="20"/>
        </w:rPr>
        <w:t xml:space="preserve">в основе «феномена» сланцевой </w:t>
      </w:r>
      <w:r w:rsidR="00A45088">
        <w:rPr>
          <w:rFonts w:ascii="Arial" w:hAnsi="Arial" w:cs="Arial"/>
          <w:sz w:val="20"/>
          <w:szCs w:val="20"/>
        </w:rPr>
        <w:t>революции</w:t>
      </w:r>
      <w:r w:rsidR="00A45088" w:rsidRPr="00A45088">
        <w:rPr>
          <w:rFonts w:ascii="Arial" w:hAnsi="Arial" w:cs="Arial"/>
          <w:sz w:val="20"/>
          <w:szCs w:val="20"/>
        </w:rPr>
        <w:t xml:space="preserve"> стоит печатный стан</w:t>
      </w:r>
      <w:r w:rsidR="00A45088">
        <w:rPr>
          <w:rFonts w:ascii="Arial" w:hAnsi="Arial" w:cs="Arial"/>
          <w:sz w:val="20"/>
          <w:szCs w:val="20"/>
        </w:rPr>
        <w:t>ок</w:t>
      </w:r>
      <w:r w:rsidR="00A45088" w:rsidRPr="00A45088">
        <w:rPr>
          <w:rFonts w:ascii="Arial" w:hAnsi="Arial" w:cs="Arial"/>
          <w:sz w:val="20"/>
          <w:szCs w:val="20"/>
        </w:rPr>
        <w:t xml:space="preserve"> США</w:t>
      </w:r>
      <w:r w:rsidR="00A45088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A45088" w:rsidRPr="00B0307D">
          <w:rPr>
            <w:rStyle w:val="a5"/>
            <w:rFonts w:ascii="Arial" w:hAnsi="Arial" w:cs="Arial"/>
            <w:sz w:val="20"/>
            <w:szCs w:val="20"/>
          </w:rPr>
          <w:t>http://blade-g.livejournal.com/49716.html</w:t>
        </w:r>
      </w:hyperlink>
      <w:r w:rsidR="00A45088">
        <w:rPr>
          <w:rFonts w:ascii="Arial" w:hAnsi="Arial" w:cs="Arial"/>
          <w:sz w:val="20"/>
          <w:szCs w:val="20"/>
        </w:rPr>
        <w:t xml:space="preserve">) </w:t>
      </w:r>
      <w:r w:rsidR="000C4BCF">
        <w:rPr>
          <w:rFonts w:ascii="Arial" w:hAnsi="Arial" w:cs="Arial"/>
          <w:sz w:val="20"/>
          <w:szCs w:val="20"/>
        </w:rPr>
        <w:t>лавинообразно увеличили</w:t>
      </w:r>
      <w:r w:rsidR="00500A80">
        <w:rPr>
          <w:rFonts w:ascii="Arial" w:hAnsi="Arial" w:cs="Arial"/>
          <w:sz w:val="20"/>
          <w:szCs w:val="20"/>
        </w:rPr>
        <w:t xml:space="preserve"> </w:t>
      </w:r>
      <w:r w:rsidR="00800FC8">
        <w:rPr>
          <w:rFonts w:ascii="Arial" w:hAnsi="Arial" w:cs="Arial"/>
          <w:sz w:val="20"/>
          <w:szCs w:val="20"/>
        </w:rPr>
        <w:t xml:space="preserve">нефтедобычу и, пользуясь своим </w:t>
      </w:r>
      <w:r w:rsidR="000C4BCF">
        <w:rPr>
          <w:rFonts w:ascii="Arial" w:hAnsi="Arial" w:cs="Arial"/>
          <w:sz w:val="20"/>
          <w:szCs w:val="20"/>
        </w:rPr>
        <w:t xml:space="preserve">доминированием на фондовых и валютных рынках, </w:t>
      </w:r>
      <w:r w:rsidR="00800FC8">
        <w:rPr>
          <w:rFonts w:ascii="Arial" w:hAnsi="Arial" w:cs="Arial"/>
          <w:sz w:val="20"/>
          <w:szCs w:val="20"/>
        </w:rPr>
        <w:t xml:space="preserve">влиянием на </w:t>
      </w:r>
      <w:r w:rsidR="003C3731">
        <w:rPr>
          <w:rFonts w:ascii="Arial" w:hAnsi="Arial" w:cs="Arial"/>
          <w:sz w:val="20"/>
          <w:szCs w:val="20"/>
        </w:rPr>
        <w:t xml:space="preserve">крупнейшие </w:t>
      </w:r>
      <w:r w:rsidR="00800FC8">
        <w:rPr>
          <w:rFonts w:ascii="Arial" w:hAnsi="Arial" w:cs="Arial"/>
          <w:sz w:val="20"/>
          <w:szCs w:val="20"/>
        </w:rPr>
        <w:t xml:space="preserve">нефтедобывающие </w:t>
      </w:r>
      <w:r w:rsidR="00433CE1">
        <w:rPr>
          <w:rFonts w:ascii="Arial" w:hAnsi="Arial" w:cs="Arial"/>
          <w:sz w:val="20"/>
          <w:szCs w:val="20"/>
        </w:rPr>
        <w:t xml:space="preserve">и нефтепотребляющие </w:t>
      </w:r>
      <w:r w:rsidR="00800FC8">
        <w:rPr>
          <w:rFonts w:ascii="Arial" w:hAnsi="Arial" w:cs="Arial"/>
          <w:sz w:val="20"/>
          <w:szCs w:val="20"/>
        </w:rPr>
        <w:t xml:space="preserve">страны, </w:t>
      </w:r>
      <w:r w:rsidR="00A45088">
        <w:rPr>
          <w:rFonts w:ascii="Arial" w:hAnsi="Arial" w:cs="Arial"/>
          <w:sz w:val="20"/>
          <w:szCs w:val="20"/>
        </w:rPr>
        <w:t xml:space="preserve">фактически </w:t>
      </w:r>
      <w:r w:rsidR="000C4BCF">
        <w:rPr>
          <w:rFonts w:ascii="Arial" w:hAnsi="Arial" w:cs="Arial"/>
          <w:sz w:val="20"/>
          <w:szCs w:val="20"/>
        </w:rPr>
        <w:t>обрушили рынок нефти</w:t>
      </w:r>
      <w:r w:rsidR="00800FC8">
        <w:rPr>
          <w:rFonts w:ascii="Arial" w:hAnsi="Arial" w:cs="Arial"/>
          <w:sz w:val="20"/>
          <w:szCs w:val="20"/>
        </w:rPr>
        <w:t>.</w:t>
      </w:r>
      <w:r w:rsidR="00383BD7">
        <w:rPr>
          <w:rFonts w:ascii="Arial" w:hAnsi="Arial" w:cs="Arial"/>
          <w:sz w:val="20"/>
          <w:szCs w:val="20"/>
        </w:rPr>
        <w:t xml:space="preserve"> </w:t>
      </w:r>
    </w:p>
    <w:p w:rsidR="00C2138D" w:rsidRDefault="00D83F1A" w:rsidP="006521FB">
      <w:pPr>
        <w:spacing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такой ситуации экономические законы </w:t>
      </w:r>
      <w:r w:rsidR="00FC3E49">
        <w:rPr>
          <w:rFonts w:ascii="Arial" w:hAnsi="Arial" w:cs="Arial"/>
          <w:sz w:val="20"/>
          <w:szCs w:val="20"/>
        </w:rPr>
        <w:t>были полностью подчинены мировой политике</w:t>
      </w:r>
      <w:r w:rsidR="003C3731">
        <w:rPr>
          <w:rFonts w:ascii="Arial" w:hAnsi="Arial" w:cs="Arial"/>
          <w:sz w:val="20"/>
          <w:szCs w:val="20"/>
        </w:rPr>
        <w:t>, и все страны, ориентированные на экспорт нефти и сырьевых ресурсов, ощутили глубокие структурн</w:t>
      </w:r>
      <w:r w:rsidR="00FC3E49">
        <w:rPr>
          <w:rFonts w:ascii="Arial" w:hAnsi="Arial" w:cs="Arial"/>
          <w:sz w:val="20"/>
          <w:szCs w:val="20"/>
        </w:rPr>
        <w:t xml:space="preserve">ые проблемы национальных экономик: </w:t>
      </w:r>
      <w:r w:rsidR="00EA4CAD">
        <w:rPr>
          <w:rFonts w:ascii="Arial" w:hAnsi="Arial" w:cs="Arial"/>
          <w:sz w:val="20"/>
          <w:szCs w:val="20"/>
        </w:rPr>
        <w:t>дефицит бюджета и снижение госдоходов</w:t>
      </w:r>
      <w:r w:rsidR="00FC3E49">
        <w:rPr>
          <w:rFonts w:ascii="Arial" w:hAnsi="Arial" w:cs="Arial"/>
          <w:sz w:val="20"/>
          <w:szCs w:val="20"/>
        </w:rPr>
        <w:t xml:space="preserve">, </w:t>
      </w:r>
      <w:r w:rsidR="00433CE1">
        <w:rPr>
          <w:rFonts w:ascii="Arial" w:hAnsi="Arial" w:cs="Arial"/>
          <w:sz w:val="20"/>
          <w:szCs w:val="20"/>
        </w:rPr>
        <w:t xml:space="preserve">снижение социальных расходов, </w:t>
      </w:r>
      <w:r w:rsidR="00FC3E49">
        <w:rPr>
          <w:rFonts w:ascii="Arial" w:hAnsi="Arial" w:cs="Arial"/>
          <w:sz w:val="20"/>
          <w:szCs w:val="20"/>
        </w:rPr>
        <w:t xml:space="preserve">снижение доходов населения и бизнеса, </w:t>
      </w:r>
      <w:r w:rsidR="00FF1B9D">
        <w:rPr>
          <w:rFonts w:ascii="Arial" w:hAnsi="Arial" w:cs="Arial"/>
          <w:sz w:val="20"/>
          <w:szCs w:val="20"/>
        </w:rPr>
        <w:t>снижение потребительского спроса</w:t>
      </w:r>
      <w:r w:rsidR="00433CE1">
        <w:rPr>
          <w:rFonts w:ascii="Arial" w:hAnsi="Arial" w:cs="Arial"/>
          <w:sz w:val="20"/>
          <w:szCs w:val="20"/>
        </w:rPr>
        <w:t xml:space="preserve"> и инвестиционной активности, </w:t>
      </w:r>
      <w:r w:rsidR="00FC3E49">
        <w:rPr>
          <w:rFonts w:ascii="Arial" w:hAnsi="Arial" w:cs="Arial"/>
          <w:sz w:val="20"/>
          <w:szCs w:val="20"/>
        </w:rPr>
        <w:t>высокую</w:t>
      </w:r>
      <w:r w:rsidR="00FF1B9D">
        <w:rPr>
          <w:rFonts w:ascii="Arial" w:hAnsi="Arial" w:cs="Arial"/>
          <w:sz w:val="20"/>
          <w:szCs w:val="20"/>
        </w:rPr>
        <w:t xml:space="preserve"> инфляцию</w:t>
      </w:r>
      <w:r w:rsidR="00FC3E49">
        <w:rPr>
          <w:rFonts w:ascii="Arial" w:hAnsi="Arial" w:cs="Arial"/>
          <w:sz w:val="20"/>
          <w:szCs w:val="20"/>
        </w:rPr>
        <w:t>.</w:t>
      </w:r>
      <w:r w:rsidR="006521FB">
        <w:rPr>
          <w:rFonts w:ascii="Arial" w:hAnsi="Arial" w:cs="Arial"/>
          <w:sz w:val="20"/>
          <w:szCs w:val="20"/>
        </w:rPr>
        <w:t xml:space="preserve"> Ровно это мы имеем сегодня в </w:t>
      </w:r>
      <w:r w:rsidR="000C034A">
        <w:rPr>
          <w:rFonts w:ascii="Arial" w:hAnsi="Arial" w:cs="Arial"/>
          <w:sz w:val="20"/>
          <w:szCs w:val="20"/>
        </w:rPr>
        <w:t>нашей</w:t>
      </w:r>
      <w:r w:rsidR="006521FB">
        <w:rPr>
          <w:rFonts w:ascii="Arial" w:hAnsi="Arial" w:cs="Arial"/>
          <w:sz w:val="20"/>
          <w:szCs w:val="20"/>
        </w:rPr>
        <w:t xml:space="preserve"> экономике.</w:t>
      </w:r>
      <w:r w:rsidR="000C034A" w:rsidRPr="000C034A">
        <w:rPr>
          <w:rFonts w:ascii="Arial" w:hAnsi="Arial" w:cs="Arial"/>
          <w:bCs/>
          <w:sz w:val="20"/>
          <w:szCs w:val="20"/>
        </w:rPr>
        <w:t xml:space="preserve"> </w:t>
      </w:r>
      <w:r w:rsidR="000C034A">
        <w:rPr>
          <w:rFonts w:ascii="Arial" w:hAnsi="Arial" w:cs="Arial"/>
          <w:bCs/>
          <w:sz w:val="20"/>
          <w:szCs w:val="20"/>
        </w:rPr>
        <w:t>Россия получила от «партнеров» тяжелый урок.</w:t>
      </w:r>
    </w:p>
    <w:p w:rsidR="00FC3E49" w:rsidRPr="006521FB" w:rsidRDefault="006521FB" w:rsidP="006521FB">
      <w:pPr>
        <w:spacing w:after="0" w:line="240" w:lineRule="auto"/>
        <w:ind w:firstLine="284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6521FB">
        <w:rPr>
          <w:rFonts w:ascii="Arial" w:hAnsi="Arial" w:cs="Arial"/>
          <w:bCs/>
          <w:sz w:val="20"/>
          <w:szCs w:val="20"/>
        </w:rPr>
        <w:t>Перспективы экономики и рынка недвижимости</w:t>
      </w:r>
    </w:p>
    <w:p w:rsidR="00A85E8A" w:rsidRDefault="00A4332A" w:rsidP="00A85E8A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Г</w:t>
      </w:r>
      <w:r w:rsidRPr="00664C44">
        <w:rPr>
          <w:rFonts w:ascii="Arial" w:hAnsi="Arial" w:cs="Arial"/>
          <w:bCs/>
          <w:sz w:val="20"/>
          <w:szCs w:val="20"/>
        </w:rPr>
        <w:t>еополитическ</w:t>
      </w:r>
      <w:r>
        <w:rPr>
          <w:rFonts w:ascii="Arial" w:hAnsi="Arial" w:cs="Arial"/>
          <w:bCs/>
          <w:sz w:val="20"/>
          <w:szCs w:val="20"/>
        </w:rPr>
        <w:t>ая нестабильность</w:t>
      </w:r>
      <w:r w:rsidRPr="00664C44">
        <w:rPr>
          <w:rFonts w:ascii="Arial" w:hAnsi="Arial" w:cs="Arial"/>
          <w:bCs/>
          <w:sz w:val="20"/>
          <w:szCs w:val="20"/>
        </w:rPr>
        <w:t xml:space="preserve">, </w:t>
      </w:r>
      <w:r w:rsidR="00A40F56">
        <w:rPr>
          <w:rFonts w:ascii="Arial" w:hAnsi="Arial" w:cs="Arial"/>
          <w:bCs/>
          <w:sz w:val="20"/>
          <w:szCs w:val="20"/>
        </w:rPr>
        <w:t xml:space="preserve">падение рынка нефти и </w:t>
      </w:r>
      <w:r w:rsidRPr="00664C44">
        <w:rPr>
          <w:rFonts w:ascii="Arial" w:hAnsi="Arial" w:cs="Arial"/>
          <w:bCs/>
          <w:sz w:val="20"/>
          <w:szCs w:val="20"/>
        </w:rPr>
        <w:t>применени</w:t>
      </w:r>
      <w:r w:rsidR="00A40F56">
        <w:rPr>
          <w:rFonts w:ascii="Arial" w:hAnsi="Arial" w:cs="Arial"/>
          <w:bCs/>
          <w:sz w:val="20"/>
          <w:szCs w:val="20"/>
        </w:rPr>
        <w:t>е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16506">
        <w:rPr>
          <w:rFonts w:ascii="Arial" w:hAnsi="Arial" w:cs="Arial"/>
          <w:bCs/>
          <w:sz w:val="20"/>
          <w:szCs w:val="20"/>
        </w:rPr>
        <w:t>Западом</w:t>
      </w:r>
      <w:r w:rsidRPr="00664C44">
        <w:rPr>
          <w:rFonts w:ascii="Arial" w:hAnsi="Arial" w:cs="Arial"/>
          <w:bCs/>
          <w:sz w:val="20"/>
          <w:szCs w:val="20"/>
        </w:rPr>
        <w:t xml:space="preserve"> санкционного режима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16506">
        <w:rPr>
          <w:rFonts w:ascii="Arial" w:hAnsi="Arial" w:cs="Arial"/>
          <w:bCs/>
          <w:sz w:val="20"/>
          <w:szCs w:val="20"/>
        </w:rPr>
        <w:t xml:space="preserve">в условиях структурных проблем в экономике России </w:t>
      </w:r>
      <w:r>
        <w:rPr>
          <w:rFonts w:ascii="Arial" w:hAnsi="Arial" w:cs="Arial"/>
          <w:bCs/>
          <w:sz w:val="20"/>
          <w:szCs w:val="20"/>
        </w:rPr>
        <w:t>привел</w:t>
      </w:r>
      <w:r w:rsidR="00A40F56">
        <w:rPr>
          <w:rFonts w:ascii="Arial" w:hAnsi="Arial" w:cs="Arial"/>
          <w:bCs/>
          <w:sz w:val="20"/>
          <w:szCs w:val="20"/>
        </w:rPr>
        <w:t>и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40F56">
        <w:rPr>
          <w:rFonts w:ascii="Arial" w:hAnsi="Arial" w:cs="Arial"/>
          <w:bCs/>
          <w:sz w:val="20"/>
          <w:szCs w:val="20"/>
        </w:rPr>
        <w:t xml:space="preserve">к </w:t>
      </w:r>
      <w:r>
        <w:rPr>
          <w:rFonts w:ascii="Arial" w:hAnsi="Arial" w:cs="Arial"/>
          <w:bCs/>
          <w:sz w:val="20"/>
          <w:szCs w:val="20"/>
        </w:rPr>
        <w:t>сокращени</w:t>
      </w:r>
      <w:r w:rsidR="00A40F56">
        <w:rPr>
          <w:rFonts w:ascii="Arial" w:hAnsi="Arial" w:cs="Arial"/>
          <w:bCs/>
          <w:sz w:val="20"/>
          <w:szCs w:val="20"/>
        </w:rPr>
        <w:t>ю</w:t>
      </w:r>
      <w:r>
        <w:rPr>
          <w:rFonts w:ascii="Arial" w:hAnsi="Arial" w:cs="Arial"/>
          <w:bCs/>
          <w:sz w:val="20"/>
          <w:szCs w:val="20"/>
        </w:rPr>
        <w:t xml:space="preserve"> налоговых поступлений</w:t>
      </w:r>
      <w:r w:rsidR="00A40F56">
        <w:rPr>
          <w:rFonts w:ascii="Arial" w:hAnsi="Arial" w:cs="Arial"/>
          <w:bCs/>
          <w:sz w:val="20"/>
          <w:szCs w:val="20"/>
        </w:rPr>
        <w:t xml:space="preserve"> и </w:t>
      </w:r>
      <w:r w:rsidR="00FB364E">
        <w:rPr>
          <w:rFonts w:ascii="Arial" w:hAnsi="Arial" w:cs="Arial"/>
          <w:bCs/>
          <w:sz w:val="20"/>
          <w:szCs w:val="20"/>
        </w:rPr>
        <w:t>дефицит</w:t>
      </w:r>
      <w:r>
        <w:rPr>
          <w:rFonts w:ascii="Arial" w:hAnsi="Arial" w:cs="Arial"/>
          <w:bCs/>
          <w:sz w:val="20"/>
          <w:szCs w:val="20"/>
        </w:rPr>
        <w:t>у</w:t>
      </w:r>
      <w:r w:rsidR="00FB364E">
        <w:rPr>
          <w:rFonts w:ascii="Arial" w:hAnsi="Arial" w:cs="Arial"/>
          <w:bCs/>
          <w:sz w:val="20"/>
          <w:szCs w:val="20"/>
        </w:rPr>
        <w:t xml:space="preserve"> госбюджета</w:t>
      </w:r>
      <w:r w:rsidR="00B21533">
        <w:rPr>
          <w:rFonts w:ascii="Arial" w:hAnsi="Arial" w:cs="Arial"/>
          <w:bCs/>
          <w:sz w:val="20"/>
          <w:szCs w:val="20"/>
        </w:rPr>
        <w:t xml:space="preserve">, </w:t>
      </w:r>
      <w:r w:rsidR="009F349D">
        <w:rPr>
          <w:rFonts w:ascii="Arial" w:hAnsi="Arial" w:cs="Arial"/>
          <w:bCs/>
          <w:sz w:val="20"/>
          <w:szCs w:val="20"/>
        </w:rPr>
        <w:t>девальвации</w:t>
      </w:r>
      <w:r w:rsidR="00A85E8A">
        <w:rPr>
          <w:rFonts w:ascii="Arial" w:hAnsi="Arial" w:cs="Arial"/>
          <w:bCs/>
          <w:sz w:val="20"/>
          <w:szCs w:val="20"/>
        </w:rPr>
        <w:t xml:space="preserve"> рубля и росту цен, особенно, на импортные товары,</w:t>
      </w:r>
      <w:r w:rsidR="00A85E8A" w:rsidRPr="00664C44">
        <w:rPr>
          <w:rFonts w:ascii="Arial" w:hAnsi="Arial" w:cs="Arial"/>
          <w:bCs/>
          <w:sz w:val="20"/>
          <w:szCs w:val="20"/>
        </w:rPr>
        <w:t xml:space="preserve"> </w:t>
      </w:r>
      <w:r w:rsidR="009F349D">
        <w:rPr>
          <w:rFonts w:ascii="Arial" w:hAnsi="Arial" w:cs="Arial"/>
          <w:bCs/>
          <w:sz w:val="20"/>
          <w:szCs w:val="20"/>
        </w:rPr>
        <w:t xml:space="preserve">к </w:t>
      </w:r>
      <w:r w:rsidR="00A40F56" w:rsidRPr="00664C44">
        <w:rPr>
          <w:rFonts w:ascii="Arial" w:hAnsi="Arial" w:cs="Arial"/>
          <w:bCs/>
          <w:sz w:val="20"/>
          <w:szCs w:val="20"/>
        </w:rPr>
        <w:t>ограничени</w:t>
      </w:r>
      <w:r w:rsidR="00A40F56">
        <w:rPr>
          <w:rFonts w:ascii="Arial" w:hAnsi="Arial" w:cs="Arial"/>
          <w:bCs/>
          <w:sz w:val="20"/>
          <w:szCs w:val="20"/>
        </w:rPr>
        <w:t>ю</w:t>
      </w:r>
      <w:r w:rsidR="00A40F56" w:rsidRPr="00664C44">
        <w:rPr>
          <w:rFonts w:ascii="Arial" w:hAnsi="Arial" w:cs="Arial"/>
          <w:bCs/>
          <w:sz w:val="20"/>
          <w:szCs w:val="20"/>
        </w:rPr>
        <w:t xml:space="preserve"> </w:t>
      </w:r>
      <w:r w:rsidR="00A40F56">
        <w:rPr>
          <w:rFonts w:ascii="Arial" w:hAnsi="Arial" w:cs="Arial"/>
          <w:bCs/>
          <w:sz w:val="20"/>
          <w:szCs w:val="20"/>
        </w:rPr>
        <w:t>иностранны</w:t>
      </w:r>
      <w:r w:rsidR="00A85E8A">
        <w:rPr>
          <w:rFonts w:ascii="Arial" w:hAnsi="Arial" w:cs="Arial"/>
          <w:bCs/>
          <w:sz w:val="20"/>
          <w:szCs w:val="20"/>
        </w:rPr>
        <w:t>х</w:t>
      </w:r>
      <w:r w:rsidR="00A40F56">
        <w:rPr>
          <w:rFonts w:ascii="Arial" w:hAnsi="Arial" w:cs="Arial"/>
          <w:bCs/>
          <w:sz w:val="20"/>
          <w:szCs w:val="20"/>
        </w:rPr>
        <w:t xml:space="preserve"> инвестици</w:t>
      </w:r>
      <w:r w:rsidR="00A85E8A">
        <w:rPr>
          <w:rFonts w:ascii="Arial" w:hAnsi="Arial" w:cs="Arial"/>
          <w:bCs/>
          <w:sz w:val="20"/>
          <w:szCs w:val="20"/>
        </w:rPr>
        <w:t>й</w:t>
      </w:r>
      <w:r w:rsidR="00A40F56">
        <w:rPr>
          <w:rFonts w:ascii="Arial" w:hAnsi="Arial" w:cs="Arial"/>
          <w:bCs/>
          <w:sz w:val="20"/>
          <w:szCs w:val="20"/>
        </w:rPr>
        <w:t xml:space="preserve">, </w:t>
      </w:r>
      <w:r w:rsidR="009F349D">
        <w:rPr>
          <w:rFonts w:ascii="Arial" w:hAnsi="Arial" w:cs="Arial"/>
          <w:bCs/>
          <w:sz w:val="20"/>
          <w:szCs w:val="20"/>
        </w:rPr>
        <w:t xml:space="preserve">к </w:t>
      </w:r>
      <w:r w:rsidR="00A85E8A">
        <w:rPr>
          <w:rFonts w:ascii="Arial" w:hAnsi="Arial" w:cs="Arial"/>
          <w:bCs/>
          <w:sz w:val="20"/>
          <w:szCs w:val="20"/>
        </w:rPr>
        <w:t>росту безработных,</w:t>
      </w:r>
      <w:r w:rsidR="00216506">
        <w:rPr>
          <w:rFonts w:ascii="Arial" w:hAnsi="Arial" w:cs="Arial"/>
          <w:bCs/>
          <w:sz w:val="20"/>
          <w:szCs w:val="20"/>
        </w:rPr>
        <w:t xml:space="preserve"> снижению доходов населения</w:t>
      </w:r>
      <w:r w:rsidR="00A85E8A">
        <w:rPr>
          <w:rFonts w:ascii="Arial" w:hAnsi="Arial" w:cs="Arial"/>
          <w:bCs/>
          <w:sz w:val="20"/>
          <w:szCs w:val="20"/>
        </w:rPr>
        <w:t xml:space="preserve"> </w:t>
      </w:r>
      <w:r w:rsidR="00216506">
        <w:rPr>
          <w:rFonts w:ascii="Arial" w:hAnsi="Arial" w:cs="Arial"/>
          <w:bCs/>
          <w:sz w:val="20"/>
          <w:szCs w:val="20"/>
        </w:rPr>
        <w:t xml:space="preserve">и </w:t>
      </w:r>
      <w:r w:rsidR="00A85E8A">
        <w:rPr>
          <w:rFonts w:ascii="Arial" w:hAnsi="Arial" w:cs="Arial"/>
          <w:bCs/>
          <w:sz w:val="20"/>
          <w:szCs w:val="20"/>
        </w:rPr>
        <w:t xml:space="preserve">к </w:t>
      </w:r>
      <w:r w:rsidR="00216506">
        <w:rPr>
          <w:rFonts w:ascii="Arial" w:hAnsi="Arial" w:cs="Arial"/>
          <w:bCs/>
          <w:sz w:val="20"/>
          <w:szCs w:val="20"/>
        </w:rPr>
        <w:t xml:space="preserve">падению потребительского спроса. В свою очередь это обусловило </w:t>
      </w:r>
      <w:r>
        <w:rPr>
          <w:rFonts w:ascii="Arial" w:hAnsi="Arial" w:cs="Arial"/>
          <w:bCs/>
          <w:sz w:val="20"/>
          <w:szCs w:val="20"/>
        </w:rPr>
        <w:t>спад</w:t>
      </w:r>
      <w:r w:rsidR="00216506">
        <w:rPr>
          <w:rFonts w:ascii="Arial" w:hAnsi="Arial" w:cs="Arial"/>
          <w:bCs/>
          <w:sz w:val="20"/>
          <w:szCs w:val="20"/>
        </w:rPr>
        <w:t xml:space="preserve"> в</w:t>
      </w:r>
      <w:r w:rsidR="008D63DD" w:rsidRPr="008D63DD">
        <w:rPr>
          <w:rFonts w:ascii="Arial" w:hAnsi="Arial" w:cs="Arial"/>
          <w:bCs/>
          <w:sz w:val="20"/>
          <w:szCs w:val="20"/>
        </w:rPr>
        <w:t xml:space="preserve"> </w:t>
      </w:r>
      <w:r w:rsidR="00216506">
        <w:rPr>
          <w:rFonts w:ascii="Arial" w:hAnsi="Arial" w:cs="Arial"/>
          <w:bCs/>
          <w:sz w:val="20"/>
          <w:szCs w:val="20"/>
        </w:rPr>
        <w:t xml:space="preserve">автомобильной промышленности, в </w:t>
      </w:r>
      <w:r w:rsidR="008D63DD" w:rsidRPr="008D63DD">
        <w:rPr>
          <w:rFonts w:ascii="Arial" w:hAnsi="Arial" w:cs="Arial"/>
          <w:bCs/>
          <w:sz w:val="20"/>
          <w:szCs w:val="20"/>
        </w:rPr>
        <w:t>строительстве</w:t>
      </w:r>
      <w:r w:rsidR="009F349D">
        <w:rPr>
          <w:rFonts w:ascii="Arial" w:hAnsi="Arial" w:cs="Arial"/>
          <w:bCs/>
          <w:sz w:val="20"/>
          <w:szCs w:val="20"/>
        </w:rPr>
        <w:t xml:space="preserve"> и производстве основных строительных материалов</w:t>
      </w:r>
      <w:r w:rsidR="008D63DD" w:rsidRPr="008D63DD">
        <w:rPr>
          <w:rFonts w:ascii="Arial" w:hAnsi="Arial" w:cs="Arial"/>
          <w:bCs/>
          <w:sz w:val="20"/>
          <w:szCs w:val="20"/>
        </w:rPr>
        <w:t xml:space="preserve">, </w:t>
      </w:r>
      <w:r w:rsidR="00216506">
        <w:rPr>
          <w:rFonts w:ascii="Arial" w:hAnsi="Arial" w:cs="Arial"/>
          <w:bCs/>
          <w:sz w:val="20"/>
          <w:szCs w:val="20"/>
        </w:rPr>
        <w:t>в</w:t>
      </w:r>
      <w:r w:rsidR="00A45088">
        <w:rPr>
          <w:rFonts w:ascii="Arial" w:hAnsi="Arial" w:cs="Arial"/>
          <w:bCs/>
          <w:sz w:val="20"/>
          <w:szCs w:val="20"/>
        </w:rPr>
        <w:t xml:space="preserve"> </w:t>
      </w:r>
      <w:r w:rsidR="008D63DD" w:rsidRPr="008D63DD">
        <w:rPr>
          <w:rFonts w:ascii="Arial" w:hAnsi="Arial" w:cs="Arial"/>
          <w:bCs/>
          <w:sz w:val="20"/>
          <w:szCs w:val="20"/>
        </w:rPr>
        <w:t>розничной торговл</w:t>
      </w:r>
      <w:r w:rsidR="00216506">
        <w:rPr>
          <w:rFonts w:ascii="Arial" w:hAnsi="Arial" w:cs="Arial"/>
          <w:bCs/>
          <w:sz w:val="20"/>
          <w:szCs w:val="20"/>
        </w:rPr>
        <w:t>е</w:t>
      </w:r>
      <w:r w:rsidR="008D63DD" w:rsidRPr="008D63DD">
        <w:rPr>
          <w:rFonts w:ascii="Arial" w:hAnsi="Arial" w:cs="Arial"/>
          <w:bCs/>
          <w:sz w:val="20"/>
          <w:szCs w:val="20"/>
        </w:rPr>
        <w:t xml:space="preserve"> и </w:t>
      </w:r>
      <w:r w:rsidR="00216506">
        <w:rPr>
          <w:rFonts w:ascii="Arial" w:hAnsi="Arial" w:cs="Arial"/>
          <w:bCs/>
          <w:sz w:val="20"/>
          <w:szCs w:val="20"/>
        </w:rPr>
        <w:t xml:space="preserve">в </w:t>
      </w:r>
      <w:r w:rsidR="008D63DD" w:rsidRPr="008D63DD">
        <w:rPr>
          <w:rFonts w:ascii="Arial" w:hAnsi="Arial" w:cs="Arial"/>
          <w:bCs/>
          <w:sz w:val="20"/>
          <w:szCs w:val="20"/>
        </w:rPr>
        <w:t>платных услуг</w:t>
      </w:r>
      <w:r w:rsidR="00216506">
        <w:rPr>
          <w:rFonts w:ascii="Arial" w:hAnsi="Arial" w:cs="Arial"/>
          <w:bCs/>
          <w:sz w:val="20"/>
          <w:szCs w:val="20"/>
        </w:rPr>
        <w:t>ах</w:t>
      </w:r>
      <w:r w:rsidR="008D63DD" w:rsidRPr="008D63DD">
        <w:rPr>
          <w:rFonts w:ascii="Arial" w:hAnsi="Arial" w:cs="Arial"/>
          <w:bCs/>
          <w:sz w:val="20"/>
          <w:szCs w:val="20"/>
        </w:rPr>
        <w:t xml:space="preserve"> населению. </w:t>
      </w:r>
      <w:r w:rsidR="00216506">
        <w:rPr>
          <w:rFonts w:ascii="Arial" w:hAnsi="Arial" w:cs="Arial"/>
          <w:bCs/>
          <w:sz w:val="20"/>
          <w:szCs w:val="20"/>
        </w:rPr>
        <w:t xml:space="preserve"> </w:t>
      </w:r>
    </w:p>
    <w:p w:rsidR="00C00C6E" w:rsidRDefault="00CC2B6A" w:rsidP="00A85E8A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этих условиях частичный уход с отечественного рынка иностранных компаний</w:t>
      </w:r>
      <w:r w:rsidRPr="00CC2B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играет и положительную роль: теперь </w:t>
      </w:r>
      <w:r w:rsidRPr="004B1153">
        <w:rPr>
          <w:rFonts w:ascii="Arial" w:hAnsi="Arial" w:cs="Arial"/>
          <w:sz w:val="20"/>
          <w:szCs w:val="20"/>
        </w:rPr>
        <w:t xml:space="preserve">у российских предприятий </w:t>
      </w:r>
      <w:r>
        <w:rPr>
          <w:rFonts w:ascii="Arial" w:hAnsi="Arial" w:cs="Arial"/>
          <w:sz w:val="20"/>
          <w:szCs w:val="20"/>
        </w:rPr>
        <w:t xml:space="preserve">реального сектора </w:t>
      </w:r>
      <w:r w:rsidRPr="004B1153">
        <w:rPr>
          <w:rFonts w:ascii="Arial" w:hAnsi="Arial" w:cs="Arial"/>
          <w:sz w:val="20"/>
          <w:szCs w:val="20"/>
        </w:rPr>
        <w:t>появились возможности для увеличения своей доли на внутреннем рынке и увеличения выпуска продукции.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Н</w:t>
      </w:r>
      <w:r w:rsidR="00986631">
        <w:rPr>
          <w:rFonts w:ascii="Arial" w:hAnsi="Arial" w:cs="Arial"/>
          <w:bCs/>
          <w:sz w:val="20"/>
          <w:szCs w:val="20"/>
        </w:rPr>
        <w:t>изкий</w:t>
      </w:r>
      <w:r w:rsidR="000C034A">
        <w:rPr>
          <w:rFonts w:ascii="Arial" w:hAnsi="Arial" w:cs="Arial"/>
          <w:bCs/>
          <w:sz w:val="20"/>
          <w:szCs w:val="20"/>
        </w:rPr>
        <w:t xml:space="preserve"> курс рубля </w:t>
      </w:r>
      <w:r w:rsidR="003B1CE8">
        <w:rPr>
          <w:rFonts w:ascii="Arial" w:hAnsi="Arial" w:cs="Arial"/>
          <w:bCs/>
          <w:sz w:val="20"/>
          <w:szCs w:val="20"/>
        </w:rPr>
        <w:t>стимулирует</w:t>
      </w:r>
      <w:r w:rsidR="000C034A">
        <w:rPr>
          <w:rFonts w:ascii="Arial" w:hAnsi="Arial" w:cs="Arial"/>
          <w:bCs/>
          <w:sz w:val="20"/>
          <w:szCs w:val="20"/>
        </w:rPr>
        <w:t xml:space="preserve"> отечественно</w:t>
      </w:r>
      <w:r w:rsidR="003B1CE8">
        <w:rPr>
          <w:rFonts w:ascii="Arial" w:hAnsi="Arial" w:cs="Arial"/>
          <w:bCs/>
          <w:sz w:val="20"/>
          <w:szCs w:val="20"/>
        </w:rPr>
        <w:t>е производство</w:t>
      </w:r>
      <w:r w:rsidR="009F349D">
        <w:rPr>
          <w:rFonts w:ascii="Arial" w:hAnsi="Arial" w:cs="Arial"/>
          <w:bCs/>
          <w:sz w:val="20"/>
          <w:szCs w:val="20"/>
        </w:rPr>
        <w:t xml:space="preserve"> и экспорт</w:t>
      </w:r>
      <w:r>
        <w:rPr>
          <w:rFonts w:ascii="Arial" w:hAnsi="Arial" w:cs="Arial"/>
          <w:bCs/>
          <w:sz w:val="20"/>
          <w:szCs w:val="20"/>
        </w:rPr>
        <w:t>, а также дает</w:t>
      </w:r>
      <w:r w:rsidR="009F349D">
        <w:rPr>
          <w:rFonts w:ascii="Arial" w:hAnsi="Arial" w:cs="Arial"/>
          <w:bCs/>
          <w:sz w:val="20"/>
          <w:szCs w:val="20"/>
        </w:rPr>
        <w:t xml:space="preserve"> </w:t>
      </w:r>
      <w:r w:rsidR="00986631">
        <w:rPr>
          <w:rFonts w:ascii="Arial" w:hAnsi="Arial" w:cs="Arial"/>
          <w:bCs/>
          <w:sz w:val="20"/>
          <w:szCs w:val="20"/>
        </w:rPr>
        <w:t>хороши</w:t>
      </w:r>
      <w:r>
        <w:rPr>
          <w:rFonts w:ascii="Arial" w:hAnsi="Arial" w:cs="Arial"/>
          <w:bCs/>
          <w:sz w:val="20"/>
          <w:szCs w:val="20"/>
        </w:rPr>
        <w:t>й</w:t>
      </w:r>
      <w:r w:rsidR="00986631">
        <w:rPr>
          <w:rFonts w:ascii="Arial" w:hAnsi="Arial" w:cs="Arial"/>
          <w:bCs/>
          <w:sz w:val="20"/>
          <w:szCs w:val="20"/>
        </w:rPr>
        <w:t xml:space="preserve"> шанс для перестройки отраслевой структуры, для развития мелкого и среднего производства, для выпуска продукции</w:t>
      </w:r>
      <w:r>
        <w:rPr>
          <w:rFonts w:ascii="Arial" w:hAnsi="Arial" w:cs="Arial"/>
          <w:bCs/>
          <w:sz w:val="20"/>
          <w:szCs w:val="20"/>
        </w:rPr>
        <w:t>,</w:t>
      </w:r>
      <w:r w:rsidRPr="00CC2B6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аналогичной импортной</w:t>
      </w:r>
      <w:r w:rsidR="00986631">
        <w:rPr>
          <w:rFonts w:ascii="Arial" w:hAnsi="Arial" w:cs="Arial"/>
          <w:bCs/>
          <w:sz w:val="20"/>
          <w:szCs w:val="20"/>
        </w:rPr>
        <w:t>.</w:t>
      </w:r>
      <w:r w:rsidR="000C034A">
        <w:rPr>
          <w:rFonts w:ascii="Arial" w:hAnsi="Arial" w:cs="Arial"/>
          <w:bCs/>
          <w:sz w:val="20"/>
          <w:szCs w:val="20"/>
        </w:rPr>
        <w:t xml:space="preserve"> </w:t>
      </w:r>
      <w:r w:rsidR="00835711">
        <w:rPr>
          <w:rFonts w:ascii="Arial" w:hAnsi="Arial" w:cs="Arial"/>
          <w:bCs/>
          <w:sz w:val="20"/>
          <w:szCs w:val="20"/>
        </w:rPr>
        <w:t>Сельское хозяйство</w:t>
      </w:r>
      <w:r w:rsidR="000C034A">
        <w:rPr>
          <w:rFonts w:ascii="Arial" w:hAnsi="Arial" w:cs="Arial"/>
          <w:bCs/>
          <w:sz w:val="20"/>
          <w:szCs w:val="20"/>
        </w:rPr>
        <w:t>,</w:t>
      </w:r>
      <w:r w:rsidR="00835711">
        <w:rPr>
          <w:rFonts w:ascii="Arial" w:hAnsi="Arial" w:cs="Arial"/>
          <w:bCs/>
          <w:sz w:val="20"/>
          <w:szCs w:val="20"/>
        </w:rPr>
        <w:t xml:space="preserve"> сельхозпереработка </w:t>
      </w:r>
      <w:r w:rsidR="000C034A">
        <w:rPr>
          <w:rFonts w:ascii="Arial" w:hAnsi="Arial" w:cs="Arial"/>
          <w:bCs/>
          <w:sz w:val="20"/>
          <w:szCs w:val="20"/>
        </w:rPr>
        <w:t xml:space="preserve">и производство сельхозмашин и оборудования </w:t>
      </w:r>
      <w:r>
        <w:rPr>
          <w:rFonts w:ascii="Arial" w:hAnsi="Arial" w:cs="Arial"/>
          <w:bCs/>
          <w:sz w:val="20"/>
          <w:szCs w:val="20"/>
        </w:rPr>
        <w:t>показ</w:t>
      </w:r>
      <w:r w:rsidR="00FF2F10">
        <w:rPr>
          <w:rFonts w:ascii="Arial" w:hAnsi="Arial" w:cs="Arial"/>
          <w:bCs/>
          <w:sz w:val="20"/>
          <w:szCs w:val="20"/>
        </w:rPr>
        <w:t>ывают</w:t>
      </w:r>
      <w:r>
        <w:rPr>
          <w:rFonts w:ascii="Arial" w:hAnsi="Arial" w:cs="Arial"/>
          <w:bCs/>
          <w:sz w:val="20"/>
          <w:szCs w:val="20"/>
        </w:rPr>
        <w:t xml:space="preserve"> отличные результаты роста</w:t>
      </w:r>
      <w:r w:rsidR="009B1D25">
        <w:rPr>
          <w:rFonts w:ascii="Arial" w:hAnsi="Arial" w:cs="Arial"/>
          <w:bCs/>
          <w:sz w:val="20"/>
          <w:szCs w:val="20"/>
        </w:rPr>
        <w:t>.</w:t>
      </w:r>
      <w:r w:rsidR="00835711">
        <w:rPr>
          <w:rFonts w:ascii="Arial" w:hAnsi="Arial" w:cs="Arial"/>
          <w:bCs/>
          <w:sz w:val="20"/>
          <w:szCs w:val="20"/>
        </w:rPr>
        <w:t xml:space="preserve"> </w:t>
      </w:r>
      <w:r w:rsidR="00B86A39">
        <w:rPr>
          <w:rFonts w:ascii="Arial" w:hAnsi="Arial" w:cs="Arial"/>
          <w:bCs/>
          <w:sz w:val="20"/>
          <w:szCs w:val="20"/>
        </w:rPr>
        <w:t>Отмечен</w:t>
      </w:r>
      <w:r>
        <w:rPr>
          <w:rFonts w:ascii="Arial" w:hAnsi="Arial" w:cs="Arial"/>
          <w:bCs/>
          <w:sz w:val="20"/>
          <w:szCs w:val="20"/>
        </w:rPr>
        <w:t xml:space="preserve"> значительный рост производства в пищевой и легкой промышленности, </w:t>
      </w:r>
      <w:r w:rsidR="00B86A39">
        <w:rPr>
          <w:rFonts w:ascii="Arial" w:hAnsi="Arial" w:cs="Arial"/>
          <w:bCs/>
          <w:sz w:val="20"/>
          <w:szCs w:val="20"/>
        </w:rPr>
        <w:t>рост производства</w:t>
      </w:r>
      <w:r w:rsidR="00FF2F10">
        <w:rPr>
          <w:rFonts w:ascii="Arial" w:hAnsi="Arial" w:cs="Arial"/>
          <w:bCs/>
          <w:sz w:val="20"/>
          <w:szCs w:val="20"/>
        </w:rPr>
        <w:t xml:space="preserve"> </w:t>
      </w:r>
      <w:r w:rsidR="00733037">
        <w:rPr>
          <w:rFonts w:ascii="Arial" w:hAnsi="Arial" w:cs="Arial"/>
          <w:bCs/>
          <w:sz w:val="20"/>
          <w:szCs w:val="20"/>
        </w:rPr>
        <w:t xml:space="preserve">автобусов, </w:t>
      </w:r>
      <w:r w:rsidR="00FF2F10">
        <w:rPr>
          <w:rFonts w:ascii="Arial" w:hAnsi="Arial" w:cs="Arial"/>
          <w:bCs/>
          <w:sz w:val="20"/>
          <w:szCs w:val="20"/>
        </w:rPr>
        <w:t>грузового транспорта и прицепов</w:t>
      </w:r>
      <w:r w:rsidR="00C42B74">
        <w:rPr>
          <w:rFonts w:ascii="Arial" w:hAnsi="Arial" w:cs="Arial"/>
          <w:bCs/>
          <w:sz w:val="20"/>
          <w:szCs w:val="20"/>
        </w:rPr>
        <w:t xml:space="preserve">, </w:t>
      </w:r>
      <w:r w:rsidR="00D6618D">
        <w:rPr>
          <w:rFonts w:ascii="Arial" w:hAnsi="Arial" w:cs="Arial"/>
          <w:bCs/>
          <w:sz w:val="20"/>
          <w:szCs w:val="20"/>
        </w:rPr>
        <w:t>производств</w:t>
      </w:r>
      <w:r w:rsidR="00B86A39">
        <w:rPr>
          <w:rFonts w:ascii="Arial" w:hAnsi="Arial" w:cs="Arial"/>
          <w:bCs/>
          <w:sz w:val="20"/>
          <w:szCs w:val="20"/>
        </w:rPr>
        <w:t>а</w:t>
      </w:r>
      <w:r w:rsidR="00D6618D">
        <w:rPr>
          <w:rFonts w:ascii="Arial" w:hAnsi="Arial" w:cs="Arial"/>
          <w:bCs/>
          <w:sz w:val="20"/>
          <w:szCs w:val="20"/>
        </w:rPr>
        <w:t xml:space="preserve"> машин и оборудования, металлорежущих станков, турбин, строительных кранов и подъемно-транспортного оборудования, </w:t>
      </w:r>
      <w:r w:rsidR="00B86A39">
        <w:rPr>
          <w:rFonts w:ascii="Arial" w:hAnsi="Arial" w:cs="Arial"/>
          <w:bCs/>
          <w:sz w:val="20"/>
          <w:szCs w:val="20"/>
        </w:rPr>
        <w:t xml:space="preserve">рост производства </w:t>
      </w:r>
      <w:r w:rsidR="00B86A39" w:rsidRPr="00B86A39">
        <w:rPr>
          <w:rFonts w:ascii="Arial" w:hAnsi="Arial" w:cs="Arial"/>
          <w:bCs/>
          <w:sz w:val="20"/>
          <w:szCs w:val="20"/>
        </w:rPr>
        <w:t>машин и оборудования для металлургии</w:t>
      </w:r>
      <w:r w:rsidR="00B86A39">
        <w:rPr>
          <w:rFonts w:ascii="Arial" w:hAnsi="Arial" w:cs="Arial"/>
          <w:bCs/>
          <w:sz w:val="20"/>
          <w:szCs w:val="20"/>
        </w:rPr>
        <w:t xml:space="preserve">, </w:t>
      </w:r>
      <w:r w:rsidR="00C42B74">
        <w:rPr>
          <w:rFonts w:ascii="Arial" w:hAnsi="Arial" w:cs="Arial"/>
          <w:bCs/>
          <w:sz w:val="20"/>
          <w:szCs w:val="20"/>
        </w:rPr>
        <w:t>производ</w:t>
      </w:r>
      <w:r w:rsidR="00733037">
        <w:rPr>
          <w:rFonts w:ascii="Arial" w:hAnsi="Arial" w:cs="Arial"/>
          <w:bCs/>
          <w:sz w:val="20"/>
          <w:szCs w:val="20"/>
        </w:rPr>
        <w:t>ств</w:t>
      </w:r>
      <w:r w:rsidR="00B86A39">
        <w:rPr>
          <w:rFonts w:ascii="Arial" w:hAnsi="Arial" w:cs="Arial"/>
          <w:bCs/>
          <w:sz w:val="20"/>
          <w:szCs w:val="20"/>
        </w:rPr>
        <w:t>а</w:t>
      </w:r>
      <w:r w:rsidR="00733037">
        <w:rPr>
          <w:rFonts w:ascii="Arial" w:hAnsi="Arial" w:cs="Arial"/>
          <w:bCs/>
          <w:sz w:val="20"/>
          <w:szCs w:val="20"/>
        </w:rPr>
        <w:t xml:space="preserve"> финишных стройматериалов</w:t>
      </w:r>
      <w:r w:rsidR="00D6618D">
        <w:rPr>
          <w:rFonts w:ascii="Arial" w:hAnsi="Arial" w:cs="Arial"/>
          <w:bCs/>
          <w:sz w:val="20"/>
          <w:szCs w:val="20"/>
        </w:rPr>
        <w:t xml:space="preserve"> и металлических строительных конструкций</w:t>
      </w:r>
      <w:r w:rsidR="00733037">
        <w:rPr>
          <w:rFonts w:ascii="Arial" w:hAnsi="Arial" w:cs="Arial"/>
          <w:bCs/>
          <w:sz w:val="20"/>
          <w:szCs w:val="20"/>
        </w:rPr>
        <w:t xml:space="preserve">, </w:t>
      </w:r>
      <w:r w:rsidR="00D6618D">
        <w:rPr>
          <w:rFonts w:ascii="Arial" w:hAnsi="Arial" w:cs="Arial"/>
          <w:bCs/>
          <w:sz w:val="20"/>
          <w:szCs w:val="20"/>
        </w:rPr>
        <w:t>производств</w:t>
      </w:r>
      <w:r w:rsidR="00B86A39">
        <w:rPr>
          <w:rFonts w:ascii="Arial" w:hAnsi="Arial" w:cs="Arial"/>
          <w:bCs/>
          <w:sz w:val="20"/>
          <w:szCs w:val="20"/>
        </w:rPr>
        <w:t xml:space="preserve">а </w:t>
      </w:r>
      <w:r w:rsidR="00D6618D">
        <w:rPr>
          <w:rFonts w:ascii="Arial" w:hAnsi="Arial" w:cs="Arial"/>
          <w:bCs/>
          <w:sz w:val="20"/>
          <w:szCs w:val="20"/>
        </w:rPr>
        <w:t>котлов и радиаторов</w:t>
      </w:r>
      <w:r w:rsidR="00B86A39">
        <w:rPr>
          <w:rFonts w:ascii="Arial" w:hAnsi="Arial" w:cs="Arial"/>
          <w:bCs/>
          <w:sz w:val="20"/>
          <w:szCs w:val="20"/>
        </w:rPr>
        <w:t xml:space="preserve"> от</w:t>
      </w:r>
      <w:r w:rsidR="00D6618D">
        <w:rPr>
          <w:rFonts w:ascii="Arial" w:hAnsi="Arial" w:cs="Arial"/>
          <w:bCs/>
          <w:sz w:val="20"/>
          <w:szCs w:val="20"/>
        </w:rPr>
        <w:t xml:space="preserve">опления, </w:t>
      </w:r>
      <w:r w:rsidR="00B86A39">
        <w:rPr>
          <w:rFonts w:ascii="Arial" w:hAnsi="Arial" w:cs="Arial"/>
          <w:bCs/>
          <w:sz w:val="20"/>
          <w:szCs w:val="20"/>
        </w:rPr>
        <w:t xml:space="preserve">производства искусственных и синтетических волокон, рост </w:t>
      </w:r>
      <w:r w:rsidR="00733037">
        <w:rPr>
          <w:rFonts w:ascii="Arial" w:hAnsi="Arial" w:cs="Arial"/>
          <w:bCs/>
          <w:sz w:val="20"/>
          <w:szCs w:val="20"/>
        </w:rPr>
        <w:t>производств</w:t>
      </w:r>
      <w:r w:rsidR="00B86A39">
        <w:rPr>
          <w:rFonts w:ascii="Arial" w:hAnsi="Arial" w:cs="Arial"/>
          <w:bCs/>
          <w:sz w:val="20"/>
          <w:szCs w:val="20"/>
        </w:rPr>
        <w:t>а</w:t>
      </w:r>
      <w:r w:rsidR="00733037">
        <w:rPr>
          <w:rFonts w:ascii="Arial" w:hAnsi="Arial" w:cs="Arial"/>
          <w:bCs/>
          <w:sz w:val="20"/>
          <w:szCs w:val="20"/>
        </w:rPr>
        <w:t xml:space="preserve"> фармацевтической продукции, медицинского оборудования и инструментов, </w:t>
      </w:r>
      <w:r w:rsidR="00B86A39">
        <w:rPr>
          <w:rFonts w:ascii="Arial" w:hAnsi="Arial" w:cs="Arial"/>
          <w:bCs/>
          <w:sz w:val="20"/>
          <w:szCs w:val="20"/>
        </w:rPr>
        <w:t>а также многих других важнейших для экономики видов продукции.</w:t>
      </w:r>
      <w:r w:rsidR="00D6618D">
        <w:rPr>
          <w:rFonts w:ascii="Arial" w:hAnsi="Arial" w:cs="Arial"/>
          <w:bCs/>
          <w:sz w:val="20"/>
          <w:szCs w:val="20"/>
        </w:rPr>
        <w:t xml:space="preserve"> </w:t>
      </w:r>
    </w:p>
    <w:p w:rsidR="001112F6" w:rsidRDefault="001112F6" w:rsidP="001112F6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</w:t>
      </w:r>
      <w:r w:rsidRPr="00692665">
        <w:rPr>
          <w:rFonts w:ascii="Arial" w:hAnsi="Arial" w:cs="Arial"/>
          <w:bCs/>
          <w:sz w:val="20"/>
          <w:szCs w:val="20"/>
        </w:rPr>
        <w:t xml:space="preserve">оложительным фактором восстановления </w:t>
      </w:r>
      <w:r>
        <w:rPr>
          <w:rFonts w:ascii="Arial" w:hAnsi="Arial" w:cs="Arial"/>
          <w:bCs/>
          <w:sz w:val="20"/>
          <w:szCs w:val="20"/>
        </w:rPr>
        <w:t>является</w:t>
      </w:r>
      <w:r w:rsidRPr="00692665">
        <w:rPr>
          <w:rFonts w:ascii="Arial" w:hAnsi="Arial" w:cs="Arial"/>
          <w:bCs/>
          <w:sz w:val="20"/>
          <w:szCs w:val="20"/>
        </w:rPr>
        <w:t xml:space="preserve"> рост экспорта товаров</w:t>
      </w:r>
      <w:r>
        <w:rPr>
          <w:rFonts w:ascii="Arial" w:hAnsi="Arial" w:cs="Arial"/>
          <w:bCs/>
          <w:sz w:val="20"/>
          <w:szCs w:val="20"/>
        </w:rPr>
        <w:t xml:space="preserve"> и</w:t>
      </w:r>
      <w:r w:rsidRPr="00692665">
        <w:rPr>
          <w:rFonts w:ascii="Arial" w:hAnsi="Arial" w:cs="Arial"/>
          <w:bCs/>
          <w:sz w:val="20"/>
          <w:szCs w:val="20"/>
        </w:rPr>
        <w:t xml:space="preserve"> замедлени</w:t>
      </w:r>
      <w:r>
        <w:rPr>
          <w:rFonts w:ascii="Arial" w:hAnsi="Arial" w:cs="Arial"/>
          <w:bCs/>
          <w:sz w:val="20"/>
          <w:szCs w:val="20"/>
        </w:rPr>
        <w:t>е</w:t>
      </w:r>
      <w:r w:rsidRPr="00692665">
        <w:rPr>
          <w:rFonts w:ascii="Arial" w:hAnsi="Arial" w:cs="Arial"/>
          <w:bCs/>
          <w:sz w:val="20"/>
          <w:szCs w:val="20"/>
        </w:rPr>
        <w:t xml:space="preserve"> снижения запасов оборотных средств. </w:t>
      </w:r>
      <w:r>
        <w:rPr>
          <w:rFonts w:ascii="Arial" w:hAnsi="Arial" w:cs="Arial"/>
          <w:bCs/>
          <w:sz w:val="20"/>
          <w:szCs w:val="20"/>
        </w:rPr>
        <w:t>Снижение</w:t>
      </w:r>
      <w:r w:rsidRPr="00C00C6E">
        <w:rPr>
          <w:rFonts w:ascii="Arial" w:hAnsi="Arial" w:cs="Arial"/>
          <w:bCs/>
          <w:sz w:val="20"/>
          <w:szCs w:val="20"/>
        </w:rPr>
        <w:t xml:space="preserve"> инфляции указывает</w:t>
      </w:r>
      <w:r>
        <w:rPr>
          <w:rFonts w:ascii="Arial" w:hAnsi="Arial" w:cs="Arial"/>
          <w:bCs/>
          <w:sz w:val="20"/>
          <w:szCs w:val="20"/>
        </w:rPr>
        <w:t xml:space="preserve"> на</w:t>
      </w:r>
      <w:r w:rsidRPr="00C00C6E">
        <w:rPr>
          <w:rFonts w:ascii="Arial" w:hAnsi="Arial" w:cs="Arial"/>
          <w:bCs/>
          <w:sz w:val="20"/>
          <w:szCs w:val="20"/>
        </w:rPr>
        <w:t xml:space="preserve"> стабилизаци</w:t>
      </w:r>
      <w:r>
        <w:rPr>
          <w:rFonts w:ascii="Arial" w:hAnsi="Arial" w:cs="Arial"/>
          <w:bCs/>
          <w:sz w:val="20"/>
          <w:szCs w:val="20"/>
        </w:rPr>
        <w:t>ю</w:t>
      </w:r>
      <w:r w:rsidRPr="00C00C6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экономики и финансов.</w:t>
      </w:r>
      <w:r w:rsidRPr="00C00C6E">
        <w:rPr>
          <w:rFonts w:ascii="Arial" w:hAnsi="Arial" w:cs="Arial"/>
          <w:bCs/>
          <w:sz w:val="20"/>
          <w:szCs w:val="20"/>
        </w:rPr>
        <w:t xml:space="preserve"> </w:t>
      </w:r>
      <w:r w:rsidRPr="0080298A">
        <w:rPr>
          <w:rFonts w:ascii="Arial" w:hAnsi="Arial" w:cs="Arial"/>
          <w:bCs/>
          <w:sz w:val="20"/>
          <w:szCs w:val="20"/>
        </w:rPr>
        <w:t xml:space="preserve">Рост </w:t>
      </w:r>
      <w:r>
        <w:rPr>
          <w:rFonts w:ascii="Arial" w:hAnsi="Arial" w:cs="Arial"/>
          <w:bCs/>
          <w:sz w:val="20"/>
          <w:szCs w:val="20"/>
        </w:rPr>
        <w:t xml:space="preserve">цен нефти также </w:t>
      </w:r>
      <w:r w:rsidRPr="0080298A">
        <w:rPr>
          <w:rFonts w:ascii="Arial" w:hAnsi="Arial" w:cs="Arial"/>
          <w:bCs/>
          <w:sz w:val="20"/>
          <w:szCs w:val="20"/>
        </w:rPr>
        <w:t>оказ</w:t>
      </w:r>
      <w:r>
        <w:rPr>
          <w:rFonts w:ascii="Arial" w:hAnsi="Arial" w:cs="Arial"/>
          <w:bCs/>
          <w:sz w:val="20"/>
          <w:szCs w:val="20"/>
        </w:rPr>
        <w:t>ывает</w:t>
      </w:r>
      <w:r w:rsidRPr="0080298A">
        <w:rPr>
          <w:rFonts w:ascii="Arial" w:hAnsi="Arial" w:cs="Arial"/>
          <w:bCs/>
          <w:sz w:val="20"/>
          <w:szCs w:val="20"/>
        </w:rPr>
        <w:t xml:space="preserve"> п</w:t>
      </w:r>
      <w:r>
        <w:rPr>
          <w:rFonts w:ascii="Arial" w:hAnsi="Arial" w:cs="Arial"/>
          <w:bCs/>
          <w:sz w:val="20"/>
          <w:szCs w:val="20"/>
        </w:rPr>
        <w:t>оддержку консервативной финансовой политике государства и экономической активности бизнеса, и в случае отсутствия внешних негативных действий можно</w:t>
      </w:r>
      <w:r w:rsidRPr="0080298A">
        <w:rPr>
          <w:rFonts w:ascii="Arial" w:hAnsi="Arial" w:cs="Arial"/>
          <w:bCs/>
          <w:sz w:val="20"/>
          <w:szCs w:val="20"/>
        </w:rPr>
        <w:t xml:space="preserve"> ожида</w:t>
      </w:r>
      <w:r>
        <w:rPr>
          <w:rFonts w:ascii="Arial" w:hAnsi="Arial" w:cs="Arial"/>
          <w:bCs/>
          <w:sz w:val="20"/>
          <w:szCs w:val="20"/>
        </w:rPr>
        <w:t xml:space="preserve">ть восстановления потребительского спроса и роста </w:t>
      </w:r>
      <w:r w:rsidRPr="0080298A">
        <w:rPr>
          <w:rFonts w:ascii="Arial" w:hAnsi="Arial" w:cs="Arial"/>
          <w:bCs/>
          <w:sz w:val="20"/>
          <w:szCs w:val="20"/>
        </w:rPr>
        <w:t xml:space="preserve">экономики </w:t>
      </w:r>
      <w:r>
        <w:rPr>
          <w:rFonts w:ascii="Arial" w:hAnsi="Arial" w:cs="Arial"/>
          <w:bCs/>
          <w:sz w:val="20"/>
          <w:szCs w:val="20"/>
        </w:rPr>
        <w:t xml:space="preserve">со второй половины 2016 года. </w:t>
      </w:r>
      <w:r w:rsidRPr="00692665">
        <w:rPr>
          <w:rFonts w:ascii="Arial" w:hAnsi="Arial" w:cs="Arial"/>
          <w:bCs/>
          <w:sz w:val="20"/>
          <w:szCs w:val="20"/>
        </w:rPr>
        <w:t xml:space="preserve">Ожидается, </w:t>
      </w:r>
      <w:r w:rsidRPr="00692665">
        <w:rPr>
          <w:rFonts w:ascii="Arial" w:hAnsi="Arial" w:cs="Arial"/>
          <w:bCs/>
          <w:sz w:val="20"/>
          <w:szCs w:val="20"/>
        </w:rPr>
        <w:lastRenderedPageBreak/>
        <w:t xml:space="preserve">что </w:t>
      </w:r>
      <w:r>
        <w:rPr>
          <w:rFonts w:ascii="Arial" w:hAnsi="Arial" w:cs="Arial"/>
          <w:bCs/>
          <w:sz w:val="20"/>
          <w:szCs w:val="20"/>
        </w:rPr>
        <w:t xml:space="preserve">с </w:t>
      </w:r>
      <w:r w:rsidRPr="00692665">
        <w:rPr>
          <w:rFonts w:ascii="Arial" w:hAnsi="Arial" w:cs="Arial"/>
          <w:bCs/>
          <w:sz w:val="20"/>
          <w:szCs w:val="20"/>
        </w:rPr>
        <w:t>2017 года восстановится положительная динамика инвестиций и рост доходов населения</w:t>
      </w:r>
      <w:r>
        <w:rPr>
          <w:rFonts w:ascii="Arial" w:hAnsi="Arial" w:cs="Arial"/>
          <w:bCs/>
          <w:sz w:val="20"/>
          <w:szCs w:val="20"/>
        </w:rPr>
        <w:t>.</w:t>
      </w:r>
      <w:r w:rsidRPr="0069266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Это приведет к росту </w:t>
      </w:r>
      <w:r w:rsidRPr="00692665">
        <w:rPr>
          <w:rFonts w:ascii="Arial" w:hAnsi="Arial" w:cs="Arial"/>
          <w:bCs/>
          <w:sz w:val="20"/>
          <w:szCs w:val="20"/>
        </w:rPr>
        <w:t xml:space="preserve">потребительского спроса </w:t>
      </w:r>
      <w:r>
        <w:rPr>
          <w:rFonts w:ascii="Arial" w:hAnsi="Arial" w:cs="Arial"/>
          <w:bCs/>
          <w:sz w:val="20"/>
          <w:szCs w:val="20"/>
        </w:rPr>
        <w:t>и к дальнейшему стимулированию экономики</w:t>
      </w:r>
      <w:r w:rsidRPr="0069266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B1D25" w:rsidRDefault="00A20BEA" w:rsidP="001112F6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Благо, в стране есть все ключевые ресурсы: энергетика, сырье, кадровый потенциал. </w:t>
      </w:r>
      <w:r w:rsidR="00FB364E">
        <w:rPr>
          <w:rFonts w:ascii="Arial" w:hAnsi="Arial" w:cs="Arial"/>
          <w:sz w:val="20"/>
          <w:szCs w:val="20"/>
        </w:rPr>
        <w:t xml:space="preserve">Для дальнейшего развития импортозамещения требуются значительные и регулярные инвестиции в активы высокотехнологичных отраслей. </w:t>
      </w:r>
      <w:r>
        <w:rPr>
          <w:rFonts w:ascii="Arial" w:hAnsi="Arial" w:cs="Arial"/>
          <w:sz w:val="20"/>
          <w:szCs w:val="20"/>
        </w:rPr>
        <w:t>Необходимо</w:t>
      </w:r>
      <w:r w:rsidR="00FB36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развивать инженерную инфраструктуру, </w:t>
      </w:r>
      <w:r w:rsidR="00FB364E">
        <w:rPr>
          <w:rFonts w:ascii="Arial" w:hAnsi="Arial" w:cs="Arial"/>
          <w:sz w:val="20"/>
          <w:szCs w:val="20"/>
        </w:rPr>
        <w:t>строить новые производственные здания</w:t>
      </w:r>
      <w:r>
        <w:rPr>
          <w:rFonts w:ascii="Arial" w:hAnsi="Arial" w:cs="Arial"/>
          <w:sz w:val="20"/>
          <w:szCs w:val="20"/>
        </w:rPr>
        <w:t xml:space="preserve"> и сооружения</w:t>
      </w:r>
      <w:r w:rsidR="00FB364E">
        <w:rPr>
          <w:rFonts w:ascii="Arial" w:hAnsi="Arial" w:cs="Arial"/>
          <w:sz w:val="20"/>
          <w:szCs w:val="20"/>
        </w:rPr>
        <w:t>, приобретать</w:t>
      </w:r>
      <w:r>
        <w:rPr>
          <w:rFonts w:ascii="Arial" w:hAnsi="Arial" w:cs="Arial"/>
          <w:sz w:val="20"/>
          <w:szCs w:val="20"/>
        </w:rPr>
        <w:t xml:space="preserve">, проектировать и создавать </w:t>
      </w:r>
      <w:r w:rsidR="00FB364E">
        <w:rPr>
          <w:rFonts w:ascii="Arial" w:hAnsi="Arial" w:cs="Arial"/>
          <w:sz w:val="20"/>
          <w:szCs w:val="20"/>
        </w:rPr>
        <w:t>современное оборудование, обучать кадры, внедрять новые технологии и организацию производства.</w:t>
      </w:r>
      <w:r w:rsidR="00FB364E" w:rsidRPr="001F56B6">
        <w:rPr>
          <w:rFonts w:ascii="Arial" w:hAnsi="Arial" w:cs="Arial"/>
          <w:sz w:val="20"/>
          <w:szCs w:val="20"/>
        </w:rPr>
        <w:t xml:space="preserve"> </w:t>
      </w:r>
      <w:r w:rsidR="00FB364E">
        <w:rPr>
          <w:rFonts w:ascii="Arial" w:hAnsi="Arial" w:cs="Arial"/>
          <w:sz w:val="20"/>
          <w:szCs w:val="20"/>
        </w:rPr>
        <w:t xml:space="preserve">Важнейшей предпосылкой для экономической стабилизации являются государственные </w:t>
      </w:r>
      <w:r>
        <w:rPr>
          <w:rFonts w:ascii="Arial" w:hAnsi="Arial" w:cs="Arial"/>
          <w:sz w:val="20"/>
          <w:szCs w:val="20"/>
        </w:rPr>
        <w:t xml:space="preserve">целевые </w:t>
      </w:r>
      <w:r w:rsidR="00FB364E">
        <w:rPr>
          <w:rFonts w:ascii="Arial" w:hAnsi="Arial" w:cs="Arial"/>
          <w:sz w:val="20"/>
          <w:szCs w:val="20"/>
        </w:rPr>
        <w:t>программы, которые</w:t>
      </w:r>
      <w:r w:rsidR="00FB364E" w:rsidRPr="004B1153">
        <w:rPr>
          <w:rFonts w:ascii="Arial" w:hAnsi="Arial" w:cs="Arial"/>
          <w:sz w:val="20"/>
          <w:szCs w:val="20"/>
        </w:rPr>
        <w:t xml:space="preserve"> </w:t>
      </w:r>
      <w:r w:rsidR="00B86A39">
        <w:rPr>
          <w:rFonts w:ascii="Arial" w:hAnsi="Arial" w:cs="Arial"/>
          <w:sz w:val="20"/>
          <w:szCs w:val="20"/>
        </w:rPr>
        <w:t>раз</w:t>
      </w:r>
      <w:r w:rsidR="006201EB">
        <w:rPr>
          <w:rFonts w:ascii="Arial" w:hAnsi="Arial" w:cs="Arial"/>
          <w:sz w:val="20"/>
          <w:szCs w:val="20"/>
        </w:rPr>
        <w:t>го</w:t>
      </w:r>
      <w:r>
        <w:rPr>
          <w:rFonts w:ascii="Arial" w:hAnsi="Arial" w:cs="Arial"/>
          <w:sz w:val="20"/>
          <w:szCs w:val="20"/>
        </w:rPr>
        <w:t>ня</w:t>
      </w:r>
      <w:r w:rsidR="00B86A39">
        <w:rPr>
          <w:rFonts w:ascii="Arial" w:hAnsi="Arial" w:cs="Arial"/>
          <w:sz w:val="20"/>
          <w:szCs w:val="20"/>
        </w:rPr>
        <w:t>т</w:t>
      </w:r>
      <w:r w:rsidR="00FB364E" w:rsidRPr="004B1153">
        <w:rPr>
          <w:rFonts w:ascii="Arial" w:hAnsi="Arial" w:cs="Arial"/>
          <w:sz w:val="20"/>
          <w:szCs w:val="20"/>
        </w:rPr>
        <w:t xml:space="preserve"> </w:t>
      </w:r>
      <w:r w:rsidR="00FB364E">
        <w:rPr>
          <w:rFonts w:ascii="Arial" w:hAnsi="Arial" w:cs="Arial"/>
          <w:sz w:val="20"/>
          <w:szCs w:val="20"/>
        </w:rPr>
        <w:t xml:space="preserve">инвестиционные процессы. Однако это процесс многосложный, затратный, требует времени и ожидать скорого </w:t>
      </w:r>
      <w:r w:rsidR="00B86A39">
        <w:rPr>
          <w:rFonts w:ascii="Arial" w:hAnsi="Arial" w:cs="Arial"/>
          <w:sz w:val="20"/>
          <w:szCs w:val="20"/>
        </w:rPr>
        <w:t>перелома здесь не стоит.</w:t>
      </w:r>
      <w:r>
        <w:rPr>
          <w:rFonts w:ascii="Arial" w:hAnsi="Arial" w:cs="Arial"/>
          <w:sz w:val="20"/>
          <w:szCs w:val="20"/>
        </w:rPr>
        <w:t xml:space="preserve"> </w:t>
      </w:r>
      <w:r w:rsidR="001112F6">
        <w:rPr>
          <w:rFonts w:ascii="Arial" w:hAnsi="Arial" w:cs="Arial"/>
          <w:sz w:val="20"/>
          <w:szCs w:val="20"/>
        </w:rPr>
        <w:t>Реформирование структуры экономики займет не менее десятка лет.</w:t>
      </w:r>
    </w:p>
    <w:p w:rsidR="009B1D25" w:rsidRPr="001112F6" w:rsidRDefault="001112F6" w:rsidP="0077583E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BA1ECE" w:rsidRPr="001112F6">
        <w:rPr>
          <w:rFonts w:ascii="Arial" w:hAnsi="Arial" w:cs="Arial"/>
          <w:sz w:val="20"/>
          <w:szCs w:val="20"/>
        </w:rPr>
        <w:t>глеводород</w:t>
      </w:r>
      <w:r>
        <w:rPr>
          <w:rFonts w:ascii="Arial" w:hAnsi="Arial" w:cs="Arial"/>
          <w:sz w:val="20"/>
          <w:szCs w:val="20"/>
        </w:rPr>
        <w:t>ы</w:t>
      </w:r>
      <w:r w:rsidR="00BA1ECE" w:rsidRPr="001112F6">
        <w:rPr>
          <w:rFonts w:ascii="Arial" w:hAnsi="Arial" w:cs="Arial"/>
          <w:sz w:val="20"/>
          <w:szCs w:val="20"/>
        </w:rPr>
        <w:t xml:space="preserve"> </w:t>
      </w:r>
      <w:r w:rsidR="009A0CBA">
        <w:rPr>
          <w:rFonts w:ascii="Arial" w:hAnsi="Arial" w:cs="Arial"/>
          <w:sz w:val="20"/>
          <w:szCs w:val="20"/>
        </w:rPr>
        <w:t>сохраня</w:t>
      </w:r>
      <w:r>
        <w:rPr>
          <w:rFonts w:ascii="Arial" w:hAnsi="Arial" w:cs="Arial"/>
          <w:sz w:val="20"/>
          <w:szCs w:val="20"/>
        </w:rPr>
        <w:t>т свою значимость</w:t>
      </w:r>
      <w:r w:rsidRPr="001112F6">
        <w:rPr>
          <w:rFonts w:ascii="Arial" w:hAnsi="Arial" w:cs="Arial"/>
          <w:sz w:val="20"/>
          <w:szCs w:val="20"/>
        </w:rPr>
        <w:t xml:space="preserve"> </w:t>
      </w:r>
      <w:r w:rsidR="009A0CBA">
        <w:rPr>
          <w:rFonts w:ascii="Arial" w:hAnsi="Arial" w:cs="Arial"/>
          <w:sz w:val="20"/>
          <w:szCs w:val="20"/>
        </w:rPr>
        <w:t xml:space="preserve">для </w:t>
      </w:r>
      <w:r w:rsidRPr="001112F6">
        <w:rPr>
          <w:rFonts w:ascii="Arial" w:hAnsi="Arial" w:cs="Arial"/>
          <w:sz w:val="20"/>
          <w:szCs w:val="20"/>
        </w:rPr>
        <w:t xml:space="preserve">России. </w:t>
      </w:r>
      <w:r w:rsidR="00391722" w:rsidRPr="001112F6">
        <w:rPr>
          <w:rFonts w:ascii="Arial" w:hAnsi="Arial" w:cs="Arial"/>
          <w:sz w:val="20"/>
          <w:szCs w:val="20"/>
        </w:rPr>
        <w:t>Как предполагалось, м</w:t>
      </w:r>
      <w:r w:rsidR="009B1D25" w:rsidRPr="001112F6">
        <w:rPr>
          <w:rFonts w:ascii="Arial" w:hAnsi="Arial" w:cs="Arial"/>
          <w:sz w:val="20"/>
          <w:szCs w:val="20"/>
        </w:rPr>
        <w:t xml:space="preserve">ировые </w:t>
      </w:r>
      <w:r w:rsidR="009B1D25" w:rsidRPr="001112F6">
        <w:rPr>
          <w:rFonts w:ascii="Arial" w:hAnsi="Arial" w:cs="Arial"/>
          <w:bCs/>
          <w:sz w:val="20"/>
          <w:szCs w:val="20"/>
        </w:rPr>
        <w:t>ц</w:t>
      </w:r>
      <w:r w:rsidR="00835711" w:rsidRPr="001112F6">
        <w:rPr>
          <w:rFonts w:ascii="Arial" w:hAnsi="Arial" w:cs="Arial"/>
          <w:bCs/>
          <w:sz w:val="20"/>
          <w:szCs w:val="20"/>
        </w:rPr>
        <w:t>ены на нефть не могут искусственно удерживаться на низком уровне в течение длительного времени</w:t>
      </w:r>
      <w:r w:rsidR="00391722" w:rsidRPr="001112F6">
        <w:rPr>
          <w:rFonts w:ascii="Arial" w:hAnsi="Arial" w:cs="Arial"/>
          <w:bCs/>
          <w:sz w:val="20"/>
          <w:szCs w:val="20"/>
        </w:rPr>
        <w:t>.</w:t>
      </w:r>
      <w:r w:rsidR="00D54D35" w:rsidRPr="001112F6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E3679D" w:rsidRPr="001112F6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Уже </w:t>
      </w:r>
      <w:r w:rsidR="00657622" w:rsidRPr="001112F6">
        <w:rPr>
          <w:rStyle w:val="apple-converted-space"/>
          <w:rFonts w:ascii="Arial" w:hAnsi="Arial" w:cs="Arial"/>
          <w:color w:val="000000"/>
          <w:sz w:val="20"/>
          <w:szCs w:val="20"/>
        </w:rPr>
        <w:t>в апреле 2016 года</w:t>
      </w:r>
      <w:r w:rsidR="00B61193" w:rsidRPr="001112F6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="00E3679D" w:rsidRPr="001112F6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отмечается </w:t>
      </w:r>
      <w:r w:rsidR="00E3679D" w:rsidRPr="001112F6">
        <w:rPr>
          <w:rFonts w:ascii="Arial" w:hAnsi="Arial" w:cs="Arial"/>
          <w:color w:val="000000"/>
          <w:sz w:val="20"/>
          <w:szCs w:val="20"/>
        </w:rPr>
        <w:t>сильнейшее за последние 10 месяцев сокращение добычи в США.</w:t>
      </w:r>
      <w:proofErr w:type="gramEnd"/>
      <w:r w:rsidR="00E3679D" w:rsidRPr="001112F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E3679D" w:rsidRPr="001112F6">
        <w:rPr>
          <w:rFonts w:ascii="Arial" w:hAnsi="Arial" w:cs="Arial"/>
          <w:color w:val="000000"/>
          <w:sz w:val="20"/>
          <w:szCs w:val="20"/>
        </w:rPr>
        <w:t>Закрытие нерентабельных буровых установок прив</w:t>
      </w:r>
      <w:r w:rsidR="0077583E">
        <w:rPr>
          <w:rFonts w:ascii="Arial" w:hAnsi="Arial" w:cs="Arial"/>
          <w:color w:val="000000"/>
          <w:sz w:val="20"/>
          <w:szCs w:val="20"/>
        </w:rPr>
        <w:t>ело</w:t>
      </w:r>
      <w:r w:rsidR="00E3679D" w:rsidRPr="001112F6">
        <w:rPr>
          <w:rFonts w:ascii="Arial" w:hAnsi="Arial" w:cs="Arial"/>
          <w:color w:val="000000"/>
          <w:sz w:val="20"/>
          <w:szCs w:val="20"/>
        </w:rPr>
        <w:t xml:space="preserve"> к с</w:t>
      </w:r>
      <w:r w:rsidR="00491815" w:rsidRPr="001112F6">
        <w:rPr>
          <w:rFonts w:ascii="Arial" w:hAnsi="Arial" w:cs="Arial"/>
          <w:color w:val="000000"/>
          <w:sz w:val="20"/>
          <w:szCs w:val="20"/>
        </w:rPr>
        <w:t>нижению</w:t>
      </w:r>
      <w:r w:rsidR="00E3679D" w:rsidRPr="001112F6">
        <w:rPr>
          <w:rFonts w:ascii="Arial" w:hAnsi="Arial" w:cs="Arial"/>
          <w:color w:val="000000"/>
          <w:sz w:val="20"/>
          <w:szCs w:val="20"/>
        </w:rPr>
        <w:t xml:space="preserve"> предложения на рынке.</w:t>
      </w:r>
      <w:r w:rsidR="00B61193" w:rsidRPr="001112F6">
        <w:rPr>
          <w:rFonts w:ascii="Arial" w:hAnsi="Arial" w:cs="Arial"/>
          <w:sz w:val="20"/>
          <w:szCs w:val="20"/>
        </w:rPr>
        <w:t xml:space="preserve"> Сокращение добычи на Аляске </w:t>
      </w:r>
      <w:r w:rsidR="009B1D25" w:rsidRPr="001112F6">
        <w:rPr>
          <w:rFonts w:ascii="Arial" w:hAnsi="Arial" w:cs="Arial"/>
          <w:sz w:val="20"/>
          <w:szCs w:val="20"/>
        </w:rPr>
        <w:t xml:space="preserve">уже </w:t>
      </w:r>
      <w:r w:rsidR="00B61193" w:rsidRPr="001112F6">
        <w:rPr>
          <w:rFonts w:ascii="Arial" w:hAnsi="Arial" w:cs="Arial"/>
          <w:sz w:val="20"/>
          <w:szCs w:val="20"/>
        </w:rPr>
        <w:t xml:space="preserve">достигло 16%. </w:t>
      </w:r>
      <w:r w:rsidR="00B61193" w:rsidRPr="001112F6">
        <w:rPr>
          <w:rFonts w:ascii="Arial" w:hAnsi="Arial" w:cs="Arial"/>
          <w:color w:val="000000"/>
          <w:sz w:val="20"/>
          <w:szCs w:val="20"/>
        </w:rPr>
        <w:t xml:space="preserve">Цена на автомобильное топливо в </w:t>
      </w:r>
      <w:r w:rsidR="009B1D25" w:rsidRPr="001112F6">
        <w:rPr>
          <w:rFonts w:ascii="Arial" w:hAnsi="Arial" w:cs="Arial"/>
          <w:color w:val="000000"/>
          <w:sz w:val="20"/>
          <w:szCs w:val="20"/>
        </w:rPr>
        <w:t>США</w:t>
      </w:r>
      <w:r w:rsidR="00B61193" w:rsidRPr="001112F6">
        <w:rPr>
          <w:rFonts w:ascii="Arial" w:hAnsi="Arial" w:cs="Arial"/>
          <w:color w:val="000000"/>
          <w:sz w:val="20"/>
          <w:szCs w:val="20"/>
        </w:rPr>
        <w:t>, как крупнейшем потребителе нефти в мире,  поднялась с февраля 2016 года с $1,68 до отметки $2,22 за галлон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>.</w:t>
      </w:r>
      <w:r w:rsidR="002A2471" w:rsidRPr="001112F6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Потребности в нефти у Китая </w:t>
      </w:r>
      <w:r w:rsidR="00D54D35" w:rsidRPr="001112F6">
        <w:rPr>
          <w:rFonts w:ascii="Arial" w:hAnsi="Arial" w:cs="Arial"/>
          <w:color w:val="000000"/>
          <w:sz w:val="20"/>
          <w:szCs w:val="20"/>
        </w:rPr>
        <w:t>в последние 20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-25 лет неизменно растут, и в начале апреля </w:t>
      </w:r>
      <w:r w:rsidR="00D54D35" w:rsidRPr="001112F6">
        <w:rPr>
          <w:rFonts w:ascii="Arial" w:hAnsi="Arial" w:cs="Arial"/>
          <w:color w:val="000000"/>
          <w:sz w:val="20"/>
          <w:szCs w:val="20"/>
        </w:rPr>
        <w:t>установлен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рекорд по импорту нефти, а в ближайшем будущем </w:t>
      </w:r>
      <w:r w:rsidR="00D54D35" w:rsidRPr="001112F6">
        <w:rPr>
          <w:rFonts w:ascii="Arial" w:hAnsi="Arial" w:cs="Arial"/>
          <w:color w:val="000000"/>
          <w:sz w:val="20"/>
          <w:szCs w:val="20"/>
        </w:rPr>
        <w:t>КНР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готовится стать главным мировым импортером, обогнав США. Россия при этом активно </w:t>
      </w:r>
      <w:r w:rsidR="0077583E">
        <w:rPr>
          <w:rFonts w:ascii="Arial" w:hAnsi="Arial" w:cs="Arial"/>
          <w:color w:val="000000"/>
          <w:sz w:val="20"/>
          <w:szCs w:val="20"/>
        </w:rPr>
        <w:t>теснит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Саудовск</w:t>
      </w:r>
      <w:r w:rsidR="0077583E">
        <w:rPr>
          <w:rFonts w:ascii="Arial" w:hAnsi="Arial" w:cs="Arial"/>
          <w:color w:val="000000"/>
          <w:sz w:val="20"/>
          <w:szCs w:val="20"/>
        </w:rPr>
        <w:t>ую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Арави</w:t>
      </w:r>
      <w:r w:rsidR="0077583E">
        <w:rPr>
          <w:rFonts w:ascii="Arial" w:hAnsi="Arial" w:cs="Arial"/>
          <w:color w:val="000000"/>
          <w:sz w:val="20"/>
          <w:szCs w:val="20"/>
        </w:rPr>
        <w:t>ю</w:t>
      </w:r>
      <w:r w:rsidR="002A2471" w:rsidRPr="001112F6">
        <w:rPr>
          <w:rFonts w:ascii="Arial" w:hAnsi="Arial" w:cs="Arial"/>
          <w:color w:val="000000"/>
          <w:sz w:val="20"/>
          <w:szCs w:val="20"/>
        </w:rPr>
        <w:t xml:space="preserve"> на китайском рынке, наращивая свой экспорт. </w:t>
      </w:r>
      <w:r w:rsidR="00683A8A" w:rsidRPr="001112F6">
        <w:rPr>
          <w:rFonts w:ascii="Arial" w:hAnsi="Arial" w:cs="Arial"/>
          <w:bCs/>
          <w:sz w:val="20"/>
          <w:szCs w:val="20"/>
        </w:rPr>
        <w:t>П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ризнаки </w:t>
      </w:r>
      <w:r w:rsidR="00683A8A" w:rsidRPr="001112F6">
        <w:rPr>
          <w:rFonts w:ascii="Arial" w:hAnsi="Arial" w:cs="Arial"/>
          <w:bCs/>
          <w:sz w:val="20"/>
          <w:szCs w:val="20"/>
        </w:rPr>
        <w:t xml:space="preserve">восстановления </w:t>
      </w:r>
      <w:r w:rsidR="00D003DE" w:rsidRPr="001112F6">
        <w:rPr>
          <w:rFonts w:ascii="Arial" w:hAnsi="Arial" w:cs="Arial"/>
          <w:bCs/>
          <w:sz w:val="20"/>
          <w:szCs w:val="20"/>
        </w:rPr>
        <w:t>мира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 на Ближнем Востоке, </w:t>
      </w:r>
      <w:r w:rsidR="002A2471" w:rsidRPr="001112F6">
        <w:rPr>
          <w:rFonts w:ascii="Arial" w:hAnsi="Arial" w:cs="Arial"/>
          <w:bCs/>
          <w:sz w:val="20"/>
          <w:szCs w:val="20"/>
        </w:rPr>
        <w:t xml:space="preserve">общая тенденция </w:t>
      </w:r>
      <w:r w:rsidR="00D003DE" w:rsidRPr="001112F6">
        <w:rPr>
          <w:rFonts w:ascii="Arial" w:hAnsi="Arial" w:cs="Arial"/>
          <w:bCs/>
          <w:sz w:val="20"/>
          <w:szCs w:val="20"/>
        </w:rPr>
        <w:t xml:space="preserve">большинства нефтедобывающих стран </w:t>
      </w:r>
      <w:r w:rsidR="002A2471" w:rsidRPr="001112F6">
        <w:rPr>
          <w:rFonts w:ascii="Arial" w:hAnsi="Arial" w:cs="Arial"/>
          <w:bCs/>
          <w:sz w:val="20"/>
          <w:szCs w:val="20"/>
        </w:rPr>
        <w:t>регулировать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 добыч</w:t>
      </w:r>
      <w:r w:rsidR="002A2471" w:rsidRPr="001112F6">
        <w:rPr>
          <w:rFonts w:ascii="Arial" w:hAnsi="Arial" w:cs="Arial"/>
          <w:bCs/>
          <w:sz w:val="20"/>
          <w:szCs w:val="20"/>
        </w:rPr>
        <w:t>у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 нефти</w:t>
      </w:r>
      <w:r w:rsidR="00683A8A" w:rsidRPr="001112F6">
        <w:rPr>
          <w:rFonts w:ascii="Arial" w:hAnsi="Arial" w:cs="Arial"/>
          <w:bCs/>
          <w:sz w:val="20"/>
          <w:szCs w:val="20"/>
        </w:rPr>
        <w:t xml:space="preserve"> 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позволяют надеяться на </w:t>
      </w:r>
      <w:r w:rsidR="0077583E">
        <w:rPr>
          <w:rFonts w:ascii="Arial" w:hAnsi="Arial" w:cs="Arial"/>
          <w:bCs/>
          <w:sz w:val="20"/>
          <w:szCs w:val="20"/>
        </w:rPr>
        <w:t>стабилизацию цен на уровне 70 долл./баррель.</w:t>
      </w:r>
      <w:r w:rsidR="00210EB9" w:rsidRPr="001112F6">
        <w:rPr>
          <w:rFonts w:ascii="Arial" w:hAnsi="Arial" w:cs="Arial"/>
          <w:bCs/>
          <w:sz w:val="20"/>
          <w:szCs w:val="20"/>
        </w:rPr>
        <w:t xml:space="preserve"> Вместе с тем, все понимают высокую степень неопределенности в вопросах</w:t>
      </w:r>
      <w:r w:rsidR="00C56759" w:rsidRPr="001112F6">
        <w:rPr>
          <w:rFonts w:ascii="Arial" w:hAnsi="Arial" w:cs="Arial"/>
          <w:bCs/>
          <w:sz w:val="20"/>
          <w:szCs w:val="20"/>
        </w:rPr>
        <w:t xml:space="preserve"> войны и мира</w:t>
      </w:r>
      <w:r w:rsidR="00210EB9" w:rsidRPr="001112F6">
        <w:rPr>
          <w:rFonts w:ascii="Arial" w:hAnsi="Arial" w:cs="Arial"/>
          <w:bCs/>
          <w:sz w:val="20"/>
          <w:szCs w:val="20"/>
        </w:rPr>
        <w:t>.</w:t>
      </w:r>
      <w:r w:rsidR="00D003DE" w:rsidRPr="001112F6">
        <w:rPr>
          <w:rFonts w:ascii="Arial" w:hAnsi="Arial" w:cs="Arial"/>
          <w:bCs/>
          <w:sz w:val="20"/>
          <w:szCs w:val="20"/>
        </w:rPr>
        <w:t xml:space="preserve"> В любом случае, </w:t>
      </w:r>
      <w:r w:rsidR="002A2471" w:rsidRPr="001112F6">
        <w:rPr>
          <w:rFonts w:ascii="Arial" w:hAnsi="Arial" w:cs="Arial"/>
          <w:bCs/>
          <w:sz w:val="20"/>
          <w:szCs w:val="20"/>
        </w:rPr>
        <w:t xml:space="preserve">России следует </w:t>
      </w:r>
      <w:r w:rsidR="00D54D35" w:rsidRPr="001112F6">
        <w:rPr>
          <w:rFonts w:ascii="Arial" w:hAnsi="Arial" w:cs="Arial"/>
          <w:bCs/>
          <w:sz w:val="20"/>
          <w:szCs w:val="20"/>
        </w:rPr>
        <w:t xml:space="preserve">интенсивнее развивать </w:t>
      </w:r>
      <w:r w:rsidR="0077583E">
        <w:rPr>
          <w:rFonts w:ascii="Arial" w:hAnsi="Arial" w:cs="Arial"/>
          <w:bCs/>
          <w:sz w:val="20"/>
          <w:szCs w:val="20"/>
        </w:rPr>
        <w:t xml:space="preserve">импортозамещающие </w:t>
      </w:r>
      <w:r w:rsidR="00D54D35" w:rsidRPr="001112F6">
        <w:rPr>
          <w:rFonts w:ascii="Arial" w:hAnsi="Arial" w:cs="Arial"/>
          <w:bCs/>
          <w:sz w:val="20"/>
          <w:szCs w:val="20"/>
        </w:rPr>
        <w:t>перерабатывающие и высокотехнологичные отра</w:t>
      </w:r>
      <w:r w:rsidR="00C56759" w:rsidRPr="001112F6">
        <w:rPr>
          <w:rFonts w:ascii="Arial" w:hAnsi="Arial" w:cs="Arial"/>
          <w:bCs/>
          <w:sz w:val="20"/>
          <w:szCs w:val="20"/>
        </w:rPr>
        <w:t xml:space="preserve">сли, </w:t>
      </w:r>
      <w:r w:rsidR="0077583E">
        <w:rPr>
          <w:rFonts w:ascii="Arial" w:hAnsi="Arial" w:cs="Arial"/>
          <w:bCs/>
          <w:sz w:val="20"/>
          <w:szCs w:val="20"/>
        </w:rPr>
        <w:t>чтобы снизить внешние риски.</w:t>
      </w:r>
    </w:p>
    <w:p w:rsidR="00987D38" w:rsidRPr="00C56759" w:rsidRDefault="00C56759" w:rsidP="00987D38">
      <w:pPr>
        <w:spacing w:before="240" w:line="240" w:lineRule="auto"/>
        <w:ind w:firstLine="28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Основные тенденции и перспективы</w:t>
      </w:r>
      <w:r w:rsidR="0077583E">
        <w:rPr>
          <w:rFonts w:ascii="Arial" w:hAnsi="Arial" w:cs="Arial"/>
          <w:bCs/>
          <w:sz w:val="20"/>
          <w:szCs w:val="20"/>
        </w:rPr>
        <w:t xml:space="preserve"> рынка недвижимости</w:t>
      </w:r>
    </w:p>
    <w:p w:rsidR="00210EB9" w:rsidRPr="00210EB9" w:rsidRDefault="00210EB9" w:rsidP="00782F78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bCs/>
          <w:sz w:val="20"/>
          <w:szCs w:val="20"/>
        </w:rPr>
        <w:t xml:space="preserve">Факторов, способных вызвать рост цен жилой и коммерческой недвижимости, нет, поскольку </w:t>
      </w:r>
      <w:r w:rsidR="009B1D25">
        <w:rPr>
          <w:rFonts w:ascii="Arial" w:hAnsi="Arial" w:cs="Arial"/>
          <w:bCs/>
          <w:sz w:val="20"/>
          <w:szCs w:val="20"/>
        </w:rPr>
        <w:t>2015 год показал</w:t>
      </w:r>
      <w:r w:rsidRPr="00210EB9">
        <w:rPr>
          <w:rFonts w:ascii="Arial" w:hAnsi="Arial" w:cs="Arial"/>
          <w:bCs/>
          <w:sz w:val="20"/>
          <w:szCs w:val="20"/>
        </w:rPr>
        <w:t xml:space="preserve"> снижение </w:t>
      </w:r>
      <w:r w:rsidR="00FE1BC1">
        <w:rPr>
          <w:rFonts w:ascii="Arial" w:hAnsi="Arial" w:cs="Arial"/>
          <w:bCs/>
          <w:sz w:val="20"/>
          <w:szCs w:val="20"/>
        </w:rPr>
        <w:t xml:space="preserve">основных </w:t>
      </w:r>
      <w:r w:rsidRPr="00210EB9">
        <w:rPr>
          <w:rFonts w:ascii="Arial" w:hAnsi="Arial" w:cs="Arial"/>
          <w:bCs/>
          <w:sz w:val="20"/>
          <w:szCs w:val="20"/>
        </w:rPr>
        <w:t>экономических показателей, снижени</w:t>
      </w:r>
      <w:r w:rsidR="00FE1BC1">
        <w:rPr>
          <w:rFonts w:ascii="Arial" w:hAnsi="Arial" w:cs="Arial"/>
          <w:bCs/>
          <w:sz w:val="20"/>
          <w:szCs w:val="20"/>
        </w:rPr>
        <w:t>е</w:t>
      </w:r>
      <w:r w:rsidRPr="00210EB9">
        <w:rPr>
          <w:rFonts w:ascii="Arial" w:hAnsi="Arial" w:cs="Arial"/>
          <w:bCs/>
          <w:sz w:val="20"/>
          <w:szCs w:val="20"/>
        </w:rPr>
        <w:t xml:space="preserve"> доходов бизнеса и населения.</w:t>
      </w:r>
      <w:r w:rsidR="009B1D25">
        <w:rPr>
          <w:rFonts w:ascii="Arial" w:hAnsi="Arial" w:cs="Arial"/>
          <w:bCs/>
          <w:sz w:val="20"/>
          <w:szCs w:val="20"/>
        </w:rPr>
        <w:t xml:space="preserve"> Отрицательные </w:t>
      </w:r>
      <w:r w:rsidR="00FE1BC1">
        <w:rPr>
          <w:rFonts w:ascii="Arial" w:hAnsi="Arial" w:cs="Arial"/>
          <w:bCs/>
          <w:sz w:val="20"/>
          <w:szCs w:val="20"/>
        </w:rPr>
        <w:t xml:space="preserve">данные негативно </w:t>
      </w:r>
      <w:r w:rsidR="00782F78">
        <w:rPr>
          <w:rFonts w:ascii="Arial" w:hAnsi="Arial" w:cs="Arial"/>
          <w:bCs/>
          <w:sz w:val="20"/>
          <w:szCs w:val="20"/>
        </w:rPr>
        <w:t>повлияли</w:t>
      </w:r>
      <w:r w:rsidR="00FE1BC1">
        <w:rPr>
          <w:rFonts w:ascii="Arial" w:hAnsi="Arial" w:cs="Arial"/>
          <w:bCs/>
          <w:sz w:val="20"/>
          <w:szCs w:val="20"/>
        </w:rPr>
        <w:t xml:space="preserve"> на настроение участников рынка.</w:t>
      </w:r>
      <w:r w:rsidR="00782F78">
        <w:rPr>
          <w:rFonts w:ascii="Arial" w:hAnsi="Arial" w:cs="Arial"/>
          <w:bCs/>
          <w:sz w:val="20"/>
          <w:szCs w:val="20"/>
        </w:rPr>
        <w:t xml:space="preserve"> Однако экономические итоги последних месяцев дают надежду на восстановление и стабилизацию рынка к концу 2016 года. </w:t>
      </w:r>
    </w:p>
    <w:p w:rsidR="00FE1BC1" w:rsidRPr="00FE1BC1" w:rsidRDefault="00210EB9" w:rsidP="00C5675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bCs/>
          <w:sz w:val="20"/>
          <w:szCs w:val="20"/>
        </w:rPr>
        <w:t xml:space="preserve">Внутриэкономических причин падения цен на объекты недвижимости в России тоже нет. В условиях </w:t>
      </w:r>
      <w:r w:rsidR="00FE1BC1">
        <w:rPr>
          <w:rFonts w:ascii="Arial" w:hAnsi="Arial" w:cs="Arial"/>
          <w:bCs/>
          <w:sz w:val="20"/>
          <w:szCs w:val="20"/>
        </w:rPr>
        <w:t xml:space="preserve">мировой </w:t>
      </w:r>
      <w:r w:rsidRPr="00210EB9">
        <w:rPr>
          <w:rFonts w:ascii="Arial" w:hAnsi="Arial" w:cs="Arial"/>
          <w:bCs/>
          <w:sz w:val="20"/>
          <w:szCs w:val="20"/>
        </w:rPr>
        <w:t>политической и экономической нестабильности недвижимость, как и прежде, сохраняет свою инвестиционную значимость и важную функцию сбе</w:t>
      </w:r>
      <w:r w:rsidR="00E439F3">
        <w:rPr>
          <w:rFonts w:ascii="Arial" w:hAnsi="Arial" w:cs="Arial"/>
          <w:bCs/>
          <w:sz w:val="20"/>
          <w:szCs w:val="20"/>
        </w:rPr>
        <w:t xml:space="preserve">режения и накопления капитала. </w:t>
      </w:r>
    </w:p>
    <w:p w:rsidR="000D246C" w:rsidRPr="000D246C" w:rsidRDefault="00FE1BC1" w:rsidP="00C5675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Пока сохраняется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 некоторая коррекция рыночных цен</w:t>
      </w:r>
      <w:r w:rsidR="00532DAE" w:rsidRPr="00532DAE">
        <w:rPr>
          <w:rFonts w:ascii="Arial" w:hAnsi="Arial" w:cs="Arial"/>
          <w:bCs/>
          <w:sz w:val="20"/>
          <w:szCs w:val="20"/>
        </w:rPr>
        <w:t xml:space="preserve"> </w:t>
      </w:r>
      <w:r w:rsidR="00EF7312" w:rsidRPr="00210EB9">
        <w:rPr>
          <w:rFonts w:ascii="Arial" w:hAnsi="Arial" w:cs="Arial"/>
          <w:bCs/>
          <w:sz w:val="20"/>
          <w:szCs w:val="20"/>
        </w:rPr>
        <w:t>в крупных и крупнейших городах с плотной застройкой</w:t>
      </w:r>
      <w:r w:rsidR="00532DAE">
        <w:rPr>
          <w:rFonts w:ascii="Arial" w:hAnsi="Arial" w:cs="Arial"/>
          <w:bCs/>
          <w:sz w:val="20"/>
          <w:szCs w:val="20"/>
        </w:rPr>
        <w:t>, где</w:t>
      </w:r>
      <w:r w:rsidR="00532DAE" w:rsidRPr="00210EB9">
        <w:rPr>
          <w:rFonts w:ascii="Arial" w:hAnsi="Arial" w:cs="Arial"/>
          <w:bCs/>
          <w:sz w:val="20"/>
          <w:szCs w:val="20"/>
        </w:rPr>
        <w:t xml:space="preserve"> 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в предыдущие </w:t>
      </w:r>
      <w:r w:rsidR="00EF7312">
        <w:rPr>
          <w:rFonts w:ascii="Arial" w:hAnsi="Arial" w:cs="Arial"/>
          <w:bCs/>
          <w:sz w:val="20"/>
          <w:szCs w:val="20"/>
        </w:rPr>
        <w:t xml:space="preserve">15 лет (за исключением 2009-2010 </w:t>
      </w:r>
      <w:r w:rsidR="00210EB9" w:rsidRPr="00210EB9">
        <w:rPr>
          <w:rFonts w:ascii="Arial" w:hAnsi="Arial" w:cs="Arial"/>
          <w:bCs/>
          <w:sz w:val="20"/>
          <w:szCs w:val="20"/>
        </w:rPr>
        <w:t>годы</w:t>
      </w:r>
      <w:r w:rsidR="00EF7312">
        <w:rPr>
          <w:rFonts w:ascii="Arial" w:hAnsi="Arial" w:cs="Arial"/>
          <w:bCs/>
          <w:sz w:val="20"/>
          <w:szCs w:val="20"/>
        </w:rPr>
        <w:t>)</w:t>
      </w:r>
      <w:r w:rsidR="00532DAE">
        <w:rPr>
          <w:rFonts w:ascii="Arial" w:hAnsi="Arial" w:cs="Arial"/>
          <w:bCs/>
          <w:sz w:val="20"/>
          <w:szCs w:val="20"/>
        </w:rPr>
        <w:t xml:space="preserve"> отмечался ажиотажный </w:t>
      </w:r>
      <w:r w:rsidR="00EF7312">
        <w:rPr>
          <w:rFonts w:ascii="Arial" w:hAnsi="Arial" w:cs="Arial"/>
          <w:bCs/>
          <w:sz w:val="20"/>
          <w:szCs w:val="20"/>
        </w:rPr>
        <w:t>рост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. </w:t>
      </w:r>
      <w:r w:rsidR="000D246C">
        <w:rPr>
          <w:rFonts w:ascii="Arial" w:hAnsi="Arial" w:cs="Arial"/>
          <w:bCs/>
          <w:sz w:val="20"/>
          <w:szCs w:val="20"/>
        </w:rPr>
        <w:t xml:space="preserve">В сегодняшней ситуации </w:t>
      </w:r>
      <w:r w:rsidR="00987D38">
        <w:rPr>
          <w:rFonts w:ascii="Arial" w:hAnsi="Arial" w:cs="Arial"/>
          <w:bCs/>
          <w:sz w:val="20"/>
          <w:szCs w:val="20"/>
        </w:rPr>
        <w:t>с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нижение цен недвижимости </w:t>
      </w:r>
      <w:r w:rsidR="000D246C">
        <w:rPr>
          <w:rFonts w:ascii="Arial" w:hAnsi="Arial" w:cs="Arial"/>
          <w:bCs/>
          <w:sz w:val="20"/>
          <w:szCs w:val="20"/>
        </w:rPr>
        <w:t>до минимального (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в пределах себестоимости строительства и нормы прибыли инвестора </w:t>
      </w:r>
      <w:r w:rsidR="00C523BC">
        <w:rPr>
          <w:rFonts w:ascii="Arial" w:hAnsi="Arial" w:cs="Arial"/>
          <w:bCs/>
          <w:sz w:val="20"/>
          <w:szCs w:val="20"/>
        </w:rPr>
        <w:t>в 10 %</w:t>
      </w:r>
      <w:r w:rsidR="000D246C">
        <w:rPr>
          <w:rFonts w:ascii="Arial" w:hAnsi="Arial" w:cs="Arial"/>
          <w:bCs/>
          <w:sz w:val="20"/>
          <w:szCs w:val="20"/>
        </w:rPr>
        <w:t xml:space="preserve">) 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экономически </w:t>
      </w:r>
      <w:r w:rsidR="00C523BC">
        <w:rPr>
          <w:rFonts w:ascii="Arial" w:hAnsi="Arial" w:cs="Arial"/>
          <w:bCs/>
          <w:sz w:val="20"/>
          <w:szCs w:val="20"/>
        </w:rPr>
        <w:t>оправдано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. Другие, низкоактивные региональные рынки </w:t>
      </w:r>
      <w:r w:rsidR="00E439F3">
        <w:rPr>
          <w:rFonts w:ascii="Arial" w:hAnsi="Arial" w:cs="Arial"/>
          <w:bCs/>
          <w:sz w:val="20"/>
          <w:szCs w:val="20"/>
        </w:rPr>
        <w:t xml:space="preserve">недвижимости </w:t>
      </w:r>
      <w:proofErr w:type="gramStart"/>
      <w:r w:rsidR="00210EB9" w:rsidRPr="00210EB9">
        <w:rPr>
          <w:rFonts w:ascii="Arial" w:hAnsi="Arial" w:cs="Arial"/>
          <w:bCs/>
          <w:sz w:val="20"/>
          <w:szCs w:val="20"/>
        </w:rPr>
        <w:t>более инерционн</w:t>
      </w:r>
      <w:r w:rsidR="00E439F3">
        <w:rPr>
          <w:rFonts w:ascii="Arial" w:hAnsi="Arial" w:cs="Arial"/>
          <w:bCs/>
          <w:sz w:val="20"/>
          <w:szCs w:val="20"/>
        </w:rPr>
        <w:t>ы</w:t>
      </w:r>
      <w:proofErr w:type="gramEnd"/>
      <w:r w:rsidR="00E439F3">
        <w:rPr>
          <w:rFonts w:ascii="Arial" w:hAnsi="Arial" w:cs="Arial"/>
          <w:bCs/>
          <w:sz w:val="20"/>
          <w:szCs w:val="20"/>
        </w:rPr>
        <w:t xml:space="preserve">, поэтому продолжат некоторое </w:t>
      </w:r>
      <w:r w:rsidR="00210EB9" w:rsidRPr="00210EB9">
        <w:rPr>
          <w:rFonts w:ascii="Arial" w:hAnsi="Arial" w:cs="Arial"/>
          <w:bCs/>
          <w:sz w:val="20"/>
          <w:szCs w:val="20"/>
        </w:rPr>
        <w:t xml:space="preserve">снижение до </w:t>
      </w:r>
      <w:r w:rsidR="00E439F3">
        <w:rPr>
          <w:rFonts w:ascii="Arial" w:hAnsi="Arial" w:cs="Arial"/>
          <w:bCs/>
          <w:sz w:val="20"/>
          <w:szCs w:val="20"/>
        </w:rPr>
        <w:t xml:space="preserve">периода </w:t>
      </w:r>
      <w:r w:rsidR="00210EB9" w:rsidRPr="00210EB9">
        <w:rPr>
          <w:rFonts w:ascii="Arial" w:hAnsi="Arial" w:cs="Arial"/>
          <w:bCs/>
          <w:sz w:val="20"/>
          <w:szCs w:val="20"/>
        </w:rPr>
        <w:t>стабилизаци</w:t>
      </w:r>
      <w:r w:rsidR="00987D38">
        <w:rPr>
          <w:rFonts w:ascii="Arial" w:hAnsi="Arial" w:cs="Arial"/>
          <w:bCs/>
          <w:sz w:val="20"/>
          <w:szCs w:val="20"/>
        </w:rPr>
        <w:t xml:space="preserve">и общеэкономической обстановки. Отмечается снижение на 1,6 – 2,4 % цен на жильё вторичного рынка. </w:t>
      </w:r>
      <w:r w:rsidR="00782F78">
        <w:rPr>
          <w:rFonts w:ascii="Arial" w:hAnsi="Arial" w:cs="Arial"/>
          <w:bCs/>
          <w:sz w:val="20"/>
          <w:szCs w:val="20"/>
        </w:rPr>
        <w:t xml:space="preserve">К тому же на рынок </w:t>
      </w:r>
      <w:r w:rsidR="00987D38">
        <w:rPr>
          <w:rFonts w:ascii="Arial" w:hAnsi="Arial" w:cs="Arial"/>
          <w:bCs/>
          <w:sz w:val="20"/>
          <w:szCs w:val="20"/>
        </w:rPr>
        <w:t>окажет влияние</w:t>
      </w:r>
      <w:r w:rsidR="00782F78">
        <w:rPr>
          <w:rFonts w:ascii="Arial" w:hAnsi="Arial" w:cs="Arial"/>
          <w:bCs/>
          <w:sz w:val="20"/>
          <w:szCs w:val="20"/>
        </w:rPr>
        <w:t xml:space="preserve"> сезонный фактор (лето – период отпусков</w:t>
      </w:r>
      <w:r w:rsidR="00987D38">
        <w:rPr>
          <w:rFonts w:ascii="Arial" w:hAnsi="Arial" w:cs="Arial"/>
          <w:bCs/>
          <w:sz w:val="20"/>
          <w:szCs w:val="20"/>
        </w:rPr>
        <w:t xml:space="preserve"> и проявится снижение деловой активности).</w:t>
      </w:r>
    </w:p>
    <w:p w:rsidR="00210EB9" w:rsidRPr="00210EB9" w:rsidRDefault="003C721E" w:rsidP="00C5675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</w:t>
      </w:r>
      <w:r w:rsidR="00C523BC">
        <w:rPr>
          <w:rFonts w:ascii="Arial" w:hAnsi="Arial" w:cs="Arial"/>
          <w:bCs/>
          <w:sz w:val="20"/>
          <w:szCs w:val="20"/>
        </w:rPr>
        <w:t>осстановление и госпо</w:t>
      </w:r>
      <w:r w:rsidR="000D246C">
        <w:rPr>
          <w:rFonts w:ascii="Arial" w:hAnsi="Arial" w:cs="Arial"/>
          <w:bCs/>
          <w:sz w:val="20"/>
          <w:szCs w:val="20"/>
        </w:rPr>
        <w:t xml:space="preserve">ддержка ипотечного кредитования, </w:t>
      </w:r>
      <w:r w:rsidR="006F4AC0">
        <w:rPr>
          <w:rFonts w:ascii="Arial" w:hAnsi="Arial" w:cs="Arial"/>
          <w:bCs/>
          <w:sz w:val="20"/>
          <w:szCs w:val="20"/>
        </w:rPr>
        <w:t xml:space="preserve">расширение </w:t>
      </w:r>
      <w:r w:rsidR="000D246C">
        <w:rPr>
          <w:rFonts w:ascii="Arial" w:hAnsi="Arial" w:cs="Arial"/>
          <w:bCs/>
          <w:sz w:val="20"/>
          <w:szCs w:val="20"/>
        </w:rPr>
        <w:t xml:space="preserve">кредитования бизнеса </w:t>
      </w:r>
      <w:r w:rsidR="00E439F3">
        <w:rPr>
          <w:rFonts w:ascii="Arial" w:hAnsi="Arial" w:cs="Arial"/>
          <w:bCs/>
          <w:sz w:val="20"/>
          <w:szCs w:val="20"/>
        </w:rPr>
        <w:t>стабилизиру</w:t>
      </w:r>
      <w:r w:rsidR="000D246C">
        <w:rPr>
          <w:rFonts w:ascii="Arial" w:hAnsi="Arial" w:cs="Arial"/>
          <w:bCs/>
          <w:sz w:val="20"/>
          <w:szCs w:val="20"/>
        </w:rPr>
        <w:t>ю</w:t>
      </w:r>
      <w:r w:rsidR="00E439F3">
        <w:rPr>
          <w:rFonts w:ascii="Arial" w:hAnsi="Arial" w:cs="Arial"/>
          <w:bCs/>
          <w:sz w:val="20"/>
          <w:szCs w:val="20"/>
        </w:rPr>
        <w:t>т спрос, но сезонность цен недвижимости позволить увидеть рост только с осени 2016 года.</w:t>
      </w:r>
    </w:p>
    <w:p w:rsidR="00210EB9" w:rsidRPr="00210EB9" w:rsidRDefault="00210EB9" w:rsidP="00C5675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bCs/>
          <w:sz w:val="20"/>
          <w:szCs w:val="20"/>
        </w:rPr>
        <w:t xml:space="preserve">В связи со снижением доходности рынка недвижимости </w:t>
      </w:r>
      <w:r w:rsidR="00987D38">
        <w:rPr>
          <w:rFonts w:ascii="Arial" w:hAnsi="Arial" w:cs="Arial"/>
          <w:bCs/>
          <w:sz w:val="20"/>
          <w:szCs w:val="20"/>
        </w:rPr>
        <w:t>сократились</w:t>
      </w:r>
      <w:r w:rsidRPr="00210EB9">
        <w:rPr>
          <w:rFonts w:ascii="Arial" w:hAnsi="Arial" w:cs="Arial"/>
          <w:bCs/>
          <w:sz w:val="20"/>
          <w:szCs w:val="20"/>
        </w:rPr>
        <w:t xml:space="preserve"> объем</w:t>
      </w:r>
      <w:r w:rsidR="00C62942">
        <w:rPr>
          <w:rFonts w:ascii="Arial" w:hAnsi="Arial" w:cs="Arial"/>
          <w:bCs/>
          <w:sz w:val="20"/>
          <w:szCs w:val="20"/>
        </w:rPr>
        <w:t>ы</w:t>
      </w:r>
      <w:r w:rsidRPr="00210EB9">
        <w:rPr>
          <w:rFonts w:ascii="Arial" w:hAnsi="Arial" w:cs="Arial"/>
          <w:bCs/>
          <w:sz w:val="20"/>
          <w:szCs w:val="20"/>
        </w:rPr>
        <w:t xml:space="preserve"> строительства, </w:t>
      </w:r>
      <w:r w:rsidR="00867F1E">
        <w:rPr>
          <w:rFonts w:ascii="Arial" w:hAnsi="Arial" w:cs="Arial"/>
          <w:bCs/>
          <w:sz w:val="20"/>
          <w:szCs w:val="20"/>
        </w:rPr>
        <w:t>что обусл</w:t>
      </w:r>
      <w:r w:rsidR="00BF209B">
        <w:rPr>
          <w:rFonts w:ascii="Arial" w:hAnsi="Arial" w:cs="Arial"/>
          <w:bCs/>
          <w:sz w:val="20"/>
          <w:szCs w:val="20"/>
        </w:rPr>
        <w:t>о</w:t>
      </w:r>
      <w:r w:rsidR="006F4AC0">
        <w:rPr>
          <w:rFonts w:ascii="Arial" w:hAnsi="Arial" w:cs="Arial"/>
          <w:bCs/>
          <w:sz w:val="20"/>
          <w:szCs w:val="20"/>
        </w:rPr>
        <w:t>в</w:t>
      </w:r>
      <w:r w:rsidR="00987D38">
        <w:rPr>
          <w:rFonts w:ascii="Arial" w:hAnsi="Arial" w:cs="Arial"/>
          <w:bCs/>
          <w:sz w:val="20"/>
          <w:szCs w:val="20"/>
        </w:rPr>
        <w:t>ило</w:t>
      </w:r>
      <w:r w:rsidR="006F4AC0">
        <w:rPr>
          <w:rFonts w:ascii="Arial" w:hAnsi="Arial" w:cs="Arial"/>
          <w:bCs/>
          <w:sz w:val="20"/>
          <w:szCs w:val="20"/>
        </w:rPr>
        <w:t xml:space="preserve"> </w:t>
      </w:r>
      <w:r w:rsidR="00867F1E">
        <w:rPr>
          <w:rFonts w:ascii="Arial" w:hAnsi="Arial" w:cs="Arial"/>
          <w:bCs/>
          <w:sz w:val="20"/>
          <w:szCs w:val="20"/>
        </w:rPr>
        <w:t>уход</w:t>
      </w:r>
      <w:r w:rsidR="003C721E">
        <w:rPr>
          <w:rFonts w:ascii="Arial" w:hAnsi="Arial" w:cs="Arial"/>
          <w:bCs/>
          <w:sz w:val="20"/>
          <w:szCs w:val="20"/>
        </w:rPr>
        <w:t xml:space="preserve"> с рынка некоторых</w:t>
      </w:r>
      <w:r w:rsidRPr="00210EB9">
        <w:rPr>
          <w:rFonts w:ascii="Arial" w:hAnsi="Arial" w:cs="Arial"/>
          <w:bCs/>
          <w:sz w:val="20"/>
          <w:szCs w:val="20"/>
        </w:rPr>
        <w:t xml:space="preserve"> инвестиционных и строительных компаний.</w:t>
      </w:r>
      <w:r w:rsidR="00E439F3">
        <w:rPr>
          <w:rFonts w:ascii="Arial" w:hAnsi="Arial" w:cs="Arial"/>
          <w:bCs/>
          <w:sz w:val="20"/>
          <w:szCs w:val="20"/>
        </w:rPr>
        <w:t xml:space="preserve"> Но сокращение строительст</w:t>
      </w:r>
      <w:r w:rsidR="003C721E">
        <w:rPr>
          <w:rFonts w:ascii="Arial" w:hAnsi="Arial" w:cs="Arial"/>
          <w:bCs/>
          <w:sz w:val="20"/>
          <w:szCs w:val="20"/>
        </w:rPr>
        <w:t xml:space="preserve">ва </w:t>
      </w:r>
      <w:r w:rsidR="00BF209B">
        <w:rPr>
          <w:rFonts w:ascii="Arial" w:hAnsi="Arial" w:cs="Arial"/>
          <w:bCs/>
          <w:sz w:val="20"/>
          <w:szCs w:val="20"/>
        </w:rPr>
        <w:t xml:space="preserve">и постепенное восстановление потребительского спроса </w:t>
      </w:r>
      <w:r w:rsidR="003C721E">
        <w:rPr>
          <w:rFonts w:ascii="Arial" w:hAnsi="Arial" w:cs="Arial"/>
          <w:bCs/>
          <w:sz w:val="20"/>
          <w:szCs w:val="20"/>
        </w:rPr>
        <w:t>подтолкнет рынок к росту цен и стабилизирует строительную индустрию.</w:t>
      </w:r>
    </w:p>
    <w:p w:rsidR="00210EB9" w:rsidRPr="00A039E6" w:rsidRDefault="00210EB9" w:rsidP="00A039E6">
      <w:pPr>
        <w:numPr>
          <w:ilvl w:val="0"/>
          <w:numId w:val="2"/>
        </w:numPr>
        <w:spacing w:before="240" w:line="240" w:lineRule="auto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bCs/>
          <w:sz w:val="20"/>
          <w:szCs w:val="20"/>
        </w:rPr>
        <w:t>В последующие периоды при условии политической и экономической стабильности, при условии стимулирования потребительского спроса, смягчении финансово-кредитной политики государства и поддержке кредитования вероятен ро</w:t>
      </w:r>
      <w:proofErr w:type="gramStart"/>
      <w:r w:rsidRPr="00210EB9">
        <w:rPr>
          <w:rFonts w:ascii="Arial" w:hAnsi="Arial" w:cs="Arial"/>
          <w:bCs/>
          <w:sz w:val="20"/>
          <w:szCs w:val="20"/>
        </w:rPr>
        <w:t>ст спр</w:t>
      </w:r>
      <w:proofErr w:type="gramEnd"/>
      <w:r w:rsidRPr="00210EB9">
        <w:rPr>
          <w:rFonts w:ascii="Arial" w:hAnsi="Arial" w:cs="Arial"/>
          <w:bCs/>
          <w:sz w:val="20"/>
          <w:szCs w:val="20"/>
        </w:rPr>
        <w:t xml:space="preserve">оса на недвижимость и некоторый рост цен. </w:t>
      </w:r>
    </w:p>
    <w:p w:rsidR="00A039E6" w:rsidRPr="00210EB9" w:rsidRDefault="00A039E6" w:rsidP="00A039E6">
      <w:pPr>
        <w:spacing w:before="240" w:line="240" w:lineRule="auto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:rsidR="00210EB9" w:rsidRPr="00210EB9" w:rsidRDefault="00210EB9" w:rsidP="00210EB9">
      <w:pPr>
        <w:spacing w:after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sz w:val="20"/>
          <w:szCs w:val="20"/>
        </w:rPr>
        <w:t xml:space="preserve">(Анализ подготовлен специалистами </w:t>
      </w:r>
      <w:hyperlink r:id="rId15" w:history="1">
        <w:r w:rsidRPr="00210EB9">
          <w:rPr>
            <w:rStyle w:val="a5"/>
            <w:rFonts w:ascii="Arial" w:hAnsi="Arial" w:cs="Arial"/>
            <w:sz w:val="20"/>
            <w:szCs w:val="20"/>
          </w:rPr>
          <w:t>СтатРиелт</w:t>
        </w:r>
      </w:hyperlink>
      <w:r w:rsidRPr="00210EB9">
        <w:rPr>
          <w:rFonts w:ascii="Arial" w:hAnsi="Arial" w:cs="Arial"/>
          <w:sz w:val="20"/>
          <w:szCs w:val="20"/>
        </w:rPr>
        <w:t>)</w:t>
      </w:r>
    </w:p>
    <w:p w:rsidR="00210EB9" w:rsidRPr="00210EB9" w:rsidRDefault="00210EB9" w:rsidP="00210EB9">
      <w:pPr>
        <w:spacing w:after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</w:p>
    <w:p w:rsidR="00210EB9" w:rsidRPr="00210EB9" w:rsidRDefault="00210EB9" w:rsidP="00210EB9">
      <w:pPr>
        <w:spacing w:after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sz w:val="20"/>
          <w:szCs w:val="20"/>
        </w:rPr>
        <w:t>Использованные материалы:</w:t>
      </w:r>
    </w:p>
    <w:p w:rsidR="00BF209B" w:rsidRPr="00BF209B" w:rsidRDefault="00BF209B" w:rsidP="00210EB9">
      <w:pPr>
        <w:numPr>
          <w:ilvl w:val="0"/>
          <w:numId w:val="4"/>
        </w:numPr>
        <w:spacing w:after="0" w:line="240" w:lineRule="auto"/>
        <w:contextualSpacing/>
        <w:rPr>
          <w:rStyle w:val="a5"/>
          <w:rFonts w:ascii="Arial" w:hAnsi="Arial" w:cs="Arial"/>
          <w:color w:val="auto"/>
          <w:sz w:val="20"/>
          <w:szCs w:val="20"/>
          <w:u w:val="none"/>
        </w:rPr>
      </w:pPr>
      <w:r w:rsidRPr="00E823DE">
        <w:rPr>
          <w:rFonts w:ascii="Arial" w:hAnsi="Arial" w:cs="Arial"/>
          <w:sz w:val="20"/>
          <w:szCs w:val="20"/>
        </w:rPr>
        <w:t>Центральный банк</w:t>
      </w:r>
      <w:r>
        <w:rPr>
          <w:rFonts w:ascii="Arial" w:hAnsi="Arial" w:cs="Arial"/>
          <w:sz w:val="20"/>
          <w:szCs w:val="20"/>
        </w:rPr>
        <w:t xml:space="preserve"> </w:t>
      </w:r>
      <w:r w:rsidRPr="00E823DE">
        <w:rPr>
          <w:rFonts w:ascii="Arial" w:hAnsi="Arial" w:cs="Arial"/>
          <w:sz w:val="20"/>
          <w:szCs w:val="20"/>
        </w:rPr>
        <w:t xml:space="preserve">Российской Федерации  </w:t>
      </w:r>
      <w:hyperlink r:id="rId16" w:history="1">
        <w:r w:rsidRPr="00E823DE">
          <w:rPr>
            <w:rStyle w:val="a5"/>
            <w:rFonts w:ascii="Arial" w:hAnsi="Arial" w:cs="Arial"/>
            <w:sz w:val="20"/>
            <w:szCs w:val="20"/>
          </w:rPr>
          <w:t>http://www.cbr.ru</w:t>
        </w:r>
      </w:hyperlink>
    </w:p>
    <w:p w:rsidR="00E823DE" w:rsidRPr="00BF209B" w:rsidRDefault="00210EB9" w:rsidP="00BF209B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10EB9">
        <w:rPr>
          <w:rFonts w:ascii="Arial" w:hAnsi="Arial" w:cs="Arial"/>
          <w:sz w:val="20"/>
          <w:szCs w:val="20"/>
        </w:rPr>
        <w:t xml:space="preserve">Федеральная служба государственной статистики. </w:t>
      </w:r>
      <w:hyperlink r:id="rId17" w:history="1">
        <w:r w:rsidR="00BF209B" w:rsidRPr="00B0307D">
          <w:rPr>
            <w:rStyle w:val="a5"/>
            <w:rFonts w:ascii="Arial" w:hAnsi="Arial" w:cs="Arial"/>
            <w:sz w:val="20"/>
            <w:szCs w:val="20"/>
            <w:lang w:val="en-US"/>
          </w:rPr>
          <w:t>www</w:t>
        </w:r>
        <w:r w:rsidR="00BF209B" w:rsidRPr="00B0307D">
          <w:rPr>
            <w:rStyle w:val="a5"/>
            <w:rFonts w:ascii="Arial" w:hAnsi="Arial" w:cs="Arial"/>
            <w:sz w:val="20"/>
            <w:szCs w:val="20"/>
          </w:rPr>
          <w:t>.gks.ru</w:t>
        </w:r>
      </w:hyperlink>
      <w:r w:rsidRPr="00210EB9">
        <w:rPr>
          <w:rFonts w:ascii="Arial" w:hAnsi="Arial" w:cs="Arial"/>
          <w:sz w:val="20"/>
          <w:szCs w:val="20"/>
        </w:rPr>
        <w:t>,</w:t>
      </w:r>
      <w:r w:rsidR="00BF209B">
        <w:rPr>
          <w:rFonts w:ascii="Arial" w:hAnsi="Arial" w:cs="Arial"/>
          <w:sz w:val="20"/>
          <w:szCs w:val="20"/>
        </w:rPr>
        <w:t xml:space="preserve"> </w:t>
      </w:r>
      <w:r w:rsidRPr="00210EB9">
        <w:rPr>
          <w:rFonts w:ascii="Arial" w:hAnsi="Arial" w:cs="Arial"/>
          <w:sz w:val="20"/>
          <w:szCs w:val="20"/>
        </w:rPr>
        <w:t xml:space="preserve"> </w:t>
      </w:r>
    </w:p>
    <w:p w:rsidR="00210EB9" w:rsidRPr="00210EB9" w:rsidRDefault="00210EB9" w:rsidP="00BF209B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B770D2" w:rsidRPr="004B1153" w:rsidRDefault="00B770D2" w:rsidP="00A43445">
      <w:pPr>
        <w:spacing w:after="0" w:line="240" w:lineRule="auto"/>
        <w:ind w:firstLine="284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5D11" w:rsidRPr="008354C3" w:rsidRDefault="00D35D11" w:rsidP="008354C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354C3">
        <w:rPr>
          <w:rFonts w:ascii="Arial" w:hAnsi="Arial" w:cs="Arial"/>
          <w:sz w:val="20"/>
          <w:szCs w:val="20"/>
        </w:rPr>
        <w:t xml:space="preserve"> </w:t>
      </w:r>
    </w:p>
    <w:sectPr w:rsidR="00D35D11" w:rsidRPr="008354C3" w:rsidSect="00D8377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17B"/>
    <w:multiLevelType w:val="hybridMultilevel"/>
    <w:tmpl w:val="5F3A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E79D8"/>
    <w:multiLevelType w:val="hybridMultilevel"/>
    <w:tmpl w:val="6AA4800C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7DA4A06"/>
    <w:multiLevelType w:val="hybridMultilevel"/>
    <w:tmpl w:val="BC46721A"/>
    <w:lvl w:ilvl="0" w:tplc="E1A61BE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AD4367"/>
    <w:multiLevelType w:val="hybridMultilevel"/>
    <w:tmpl w:val="29CCC5D4"/>
    <w:lvl w:ilvl="0" w:tplc="E1A61BE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410E"/>
    <w:multiLevelType w:val="hybridMultilevel"/>
    <w:tmpl w:val="0BE6CFE8"/>
    <w:lvl w:ilvl="0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>
    <w:nsid w:val="6E626B13"/>
    <w:multiLevelType w:val="hybridMultilevel"/>
    <w:tmpl w:val="D250D064"/>
    <w:lvl w:ilvl="0" w:tplc="247AB9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E0A2B"/>
    <w:multiLevelType w:val="hybridMultilevel"/>
    <w:tmpl w:val="739CCAA8"/>
    <w:lvl w:ilvl="0" w:tplc="209C4D36">
      <w:start w:val="1"/>
      <w:numFmt w:val="decimal"/>
      <w:lvlText w:val="%1)"/>
      <w:lvlJc w:val="left"/>
      <w:pPr>
        <w:ind w:left="869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3F"/>
    <w:rsid w:val="00001253"/>
    <w:rsid w:val="0000717B"/>
    <w:rsid w:val="00011D9D"/>
    <w:rsid w:val="0003629A"/>
    <w:rsid w:val="00042FDC"/>
    <w:rsid w:val="0005622B"/>
    <w:rsid w:val="00057314"/>
    <w:rsid w:val="00061503"/>
    <w:rsid w:val="00061B8E"/>
    <w:rsid w:val="00084C6E"/>
    <w:rsid w:val="000B468E"/>
    <w:rsid w:val="000C034A"/>
    <w:rsid w:val="000C228D"/>
    <w:rsid w:val="000C4BCF"/>
    <w:rsid w:val="000C5D2F"/>
    <w:rsid w:val="000D246C"/>
    <w:rsid w:val="000F391C"/>
    <w:rsid w:val="000F4CCB"/>
    <w:rsid w:val="00100E97"/>
    <w:rsid w:val="0010343A"/>
    <w:rsid w:val="00110493"/>
    <w:rsid w:val="001112F6"/>
    <w:rsid w:val="001203A5"/>
    <w:rsid w:val="00124876"/>
    <w:rsid w:val="00137588"/>
    <w:rsid w:val="0016793F"/>
    <w:rsid w:val="001756CE"/>
    <w:rsid w:val="001805FC"/>
    <w:rsid w:val="0019053D"/>
    <w:rsid w:val="001A0C33"/>
    <w:rsid w:val="001B7CAF"/>
    <w:rsid w:val="001E1AA0"/>
    <w:rsid w:val="001F56B6"/>
    <w:rsid w:val="00204D55"/>
    <w:rsid w:val="00210EB9"/>
    <w:rsid w:val="00216506"/>
    <w:rsid w:val="00236E48"/>
    <w:rsid w:val="002613E7"/>
    <w:rsid w:val="002659A7"/>
    <w:rsid w:val="0029586B"/>
    <w:rsid w:val="002A2471"/>
    <w:rsid w:val="002A65D1"/>
    <w:rsid w:val="002C0576"/>
    <w:rsid w:val="002C2690"/>
    <w:rsid w:val="002C74D8"/>
    <w:rsid w:val="002D2E09"/>
    <w:rsid w:val="002E6133"/>
    <w:rsid w:val="002E62F2"/>
    <w:rsid w:val="003102D5"/>
    <w:rsid w:val="00312D0A"/>
    <w:rsid w:val="00321682"/>
    <w:rsid w:val="00344F28"/>
    <w:rsid w:val="00356ED5"/>
    <w:rsid w:val="00360B43"/>
    <w:rsid w:val="00363CDE"/>
    <w:rsid w:val="003658BF"/>
    <w:rsid w:val="00383BD7"/>
    <w:rsid w:val="00391722"/>
    <w:rsid w:val="003B1CE8"/>
    <w:rsid w:val="003C1BB1"/>
    <w:rsid w:val="003C25AC"/>
    <w:rsid w:val="003C3731"/>
    <w:rsid w:val="003C721E"/>
    <w:rsid w:val="00415745"/>
    <w:rsid w:val="004163E0"/>
    <w:rsid w:val="00424310"/>
    <w:rsid w:val="004272E4"/>
    <w:rsid w:val="00433CE1"/>
    <w:rsid w:val="00476BFD"/>
    <w:rsid w:val="00491815"/>
    <w:rsid w:val="004A0F1A"/>
    <w:rsid w:val="004A50CD"/>
    <w:rsid w:val="004B1153"/>
    <w:rsid w:val="00500A80"/>
    <w:rsid w:val="0050628B"/>
    <w:rsid w:val="00526439"/>
    <w:rsid w:val="00532DAE"/>
    <w:rsid w:val="00550695"/>
    <w:rsid w:val="005518B4"/>
    <w:rsid w:val="00564764"/>
    <w:rsid w:val="005652B3"/>
    <w:rsid w:val="00574D9A"/>
    <w:rsid w:val="00593089"/>
    <w:rsid w:val="00596141"/>
    <w:rsid w:val="005A1174"/>
    <w:rsid w:val="005A5AF0"/>
    <w:rsid w:val="005B30E6"/>
    <w:rsid w:val="005B4CC5"/>
    <w:rsid w:val="005B6132"/>
    <w:rsid w:val="005C2A23"/>
    <w:rsid w:val="006201EB"/>
    <w:rsid w:val="0062284C"/>
    <w:rsid w:val="00630BA8"/>
    <w:rsid w:val="006444D2"/>
    <w:rsid w:val="006521FB"/>
    <w:rsid w:val="00657622"/>
    <w:rsid w:val="00664C44"/>
    <w:rsid w:val="006770C2"/>
    <w:rsid w:val="00681463"/>
    <w:rsid w:val="00683A8A"/>
    <w:rsid w:val="00692665"/>
    <w:rsid w:val="006A12D6"/>
    <w:rsid w:val="006A3899"/>
    <w:rsid w:val="006A6F57"/>
    <w:rsid w:val="006F4AC0"/>
    <w:rsid w:val="0071098F"/>
    <w:rsid w:val="00717B8C"/>
    <w:rsid w:val="00732CDC"/>
    <w:rsid w:val="00733037"/>
    <w:rsid w:val="0077583E"/>
    <w:rsid w:val="00780075"/>
    <w:rsid w:val="00782F78"/>
    <w:rsid w:val="00796444"/>
    <w:rsid w:val="0079678B"/>
    <w:rsid w:val="007A09FB"/>
    <w:rsid w:val="007A6BEE"/>
    <w:rsid w:val="007C43F2"/>
    <w:rsid w:val="007C607A"/>
    <w:rsid w:val="007F2968"/>
    <w:rsid w:val="007F6961"/>
    <w:rsid w:val="00800FC8"/>
    <w:rsid w:val="0080298A"/>
    <w:rsid w:val="008354C3"/>
    <w:rsid w:val="00835711"/>
    <w:rsid w:val="008435B2"/>
    <w:rsid w:val="00867F1E"/>
    <w:rsid w:val="00871B07"/>
    <w:rsid w:val="0087417C"/>
    <w:rsid w:val="00875472"/>
    <w:rsid w:val="00876C65"/>
    <w:rsid w:val="008A023A"/>
    <w:rsid w:val="008A0859"/>
    <w:rsid w:val="008A4C3B"/>
    <w:rsid w:val="008A6792"/>
    <w:rsid w:val="008C2DC2"/>
    <w:rsid w:val="008D63DD"/>
    <w:rsid w:val="00923689"/>
    <w:rsid w:val="009333B2"/>
    <w:rsid w:val="00935325"/>
    <w:rsid w:val="00942F2C"/>
    <w:rsid w:val="00950434"/>
    <w:rsid w:val="009505DC"/>
    <w:rsid w:val="00972975"/>
    <w:rsid w:val="00986631"/>
    <w:rsid w:val="00987D38"/>
    <w:rsid w:val="00997DD0"/>
    <w:rsid w:val="009A0CBA"/>
    <w:rsid w:val="009B1D25"/>
    <w:rsid w:val="009C6D01"/>
    <w:rsid w:val="009F349D"/>
    <w:rsid w:val="00A039E6"/>
    <w:rsid w:val="00A20BEA"/>
    <w:rsid w:val="00A32754"/>
    <w:rsid w:val="00A406C4"/>
    <w:rsid w:val="00A4077C"/>
    <w:rsid w:val="00A40F56"/>
    <w:rsid w:val="00A4332A"/>
    <w:rsid w:val="00A43445"/>
    <w:rsid w:val="00A45088"/>
    <w:rsid w:val="00A82EF4"/>
    <w:rsid w:val="00A85E8A"/>
    <w:rsid w:val="00A93E8F"/>
    <w:rsid w:val="00A9509C"/>
    <w:rsid w:val="00AA4140"/>
    <w:rsid w:val="00AC6DA9"/>
    <w:rsid w:val="00AD6A35"/>
    <w:rsid w:val="00AE4F15"/>
    <w:rsid w:val="00AF5797"/>
    <w:rsid w:val="00B13B71"/>
    <w:rsid w:val="00B21533"/>
    <w:rsid w:val="00B41EBB"/>
    <w:rsid w:val="00B53CF4"/>
    <w:rsid w:val="00B61193"/>
    <w:rsid w:val="00B770D2"/>
    <w:rsid w:val="00B86A39"/>
    <w:rsid w:val="00B94427"/>
    <w:rsid w:val="00BA1ECE"/>
    <w:rsid w:val="00BC52DE"/>
    <w:rsid w:val="00BF209B"/>
    <w:rsid w:val="00BF79E6"/>
    <w:rsid w:val="00C007A5"/>
    <w:rsid w:val="00C00C6E"/>
    <w:rsid w:val="00C07DEF"/>
    <w:rsid w:val="00C2021B"/>
    <w:rsid w:val="00C2138D"/>
    <w:rsid w:val="00C34537"/>
    <w:rsid w:val="00C42B74"/>
    <w:rsid w:val="00C523BC"/>
    <w:rsid w:val="00C56759"/>
    <w:rsid w:val="00C62942"/>
    <w:rsid w:val="00C83491"/>
    <w:rsid w:val="00C961EA"/>
    <w:rsid w:val="00CB71B0"/>
    <w:rsid w:val="00CC2B6A"/>
    <w:rsid w:val="00CF7155"/>
    <w:rsid w:val="00D003DE"/>
    <w:rsid w:val="00D035C9"/>
    <w:rsid w:val="00D043D9"/>
    <w:rsid w:val="00D058FC"/>
    <w:rsid w:val="00D07C07"/>
    <w:rsid w:val="00D23C92"/>
    <w:rsid w:val="00D25BF9"/>
    <w:rsid w:val="00D35D11"/>
    <w:rsid w:val="00D54D35"/>
    <w:rsid w:val="00D555DA"/>
    <w:rsid w:val="00D62B7F"/>
    <w:rsid w:val="00D65FA2"/>
    <w:rsid w:val="00D6618D"/>
    <w:rsid w:val="00D70C5D"/>
    <w:rsid w:val="00D74407"/>
    <w:rsid w:val="00D81C47"/>
    <w:rsid w:val="00D8377C"/>
    <w:rsid w:val="00D83B88"/>
    <w:rsid w:val="00D83F1A"/>
    <w:rsid w:val="00D91EC6"/>
    <w:rsid w:val="00D92194"/>
    <w:rsid w:val="00DA386B"/>
    <w:rsid w:val="00DB3991"/>
    <w:rsid w:val="00DB4FB5"/>
    <w:rsid w:val="00DB796C"/>
    <w:rsid w:val="00DC2670"/>
    <w:rsid w:val="00DC6C00"/>
    <w:rsid w:val="00DD2A50"/>
    <w:rsid w:val="00DF785A"/>
    <w:rsid w:val="00E11BEA"/>
    <w:rsid w:val="00E2143F"/>
    <w:rsid w:val="00E21770"/>
    <w:rsid w:val="00E25146"/>
    <w:rsid w:val="00E26329"/>
    <w:rsid w:val="00E310DA"/>
    <w:rsid w:val="00E3679D"/>
    <w:rsid w:val="00E439F3"/>
    <w:rsid w:val="00E441EA"/>
    <w:rsid w:val="00E46128"/>
    <w:rsid w:val="00E527B8"/>
    <w:rsid w:val="00E5671E"/>
    <w:rsid w:val="00E618E6"/>
    <w:rsid w:val="00E80BD1"/>
    <w:rsid w:val="00E823DE"/>
    <w:rsid w:val="00E92C52"/>
    <w:rsid w:val="00E968BA"/>
    <w:rsid w:val="00E96ADC"/>
    <w:rsid w:val="00EA4CAD"/>
    <w:rsid w:val="00EA5499"/>
    <w:rsid w:val="00ED0935"/>
    <w:rsid w:val="00ED17F3"/>
    <w:rsid w:val="00EF7312"/>
    <w:rsid w:val="00F007A1"/>
    <w:rsid w:val="00F208C8"/>
    <w:rsid w:val="00F30D9A"/>
    <w:rsid w:val="00F33ABC"/>
    <w:rsid w:val="00F35E84"/>
    <w:rsid w:val="00F63DA9"/>
    <w:rsid w:val="00F72B3F"/>
    <w:rsid w:val="00F85498"/>
    <w:rsid w:val="00F86AE8"/>
    <w:rsid w:val="00F93BCE"/>
    <w:rsid w:val="00F9740F"/>
    <w:rsid w:val="00FA16EB"/>
    <w:rsid w:val="00FB364E"/>
    <w:rsid w:val="00FB48A6"/>
    <w:rsid w:val="00FB6B58"/>
    <w:rsid w:val="00FC3E49"/>
    <w:rsid w:val="00FE1BC1"/>
    <w:rsid w:val="00FF1B9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ker-quote3">
    <w:name w:val="marker-quote3"/>
    <w:basedOn w:val="a"/>
    <w:rsid w:val="00D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B3"/>
    <w:rPr>
      <w:b/>
      <w:bCs/>
    </w:rPr>
  </w:style>
  <w:style w:type="character" w:customStyle="1" w:styleId="apple-converted-space">
    <w:name w:val="apple-converted-space"/>
    <w:basedOn w:val="a0"/>
    <w:rsid w:val="005652B3"/>
  </w:style>
  <w:style w:type="character" w:styleId="a5">
    <w:name w:val="Hyperlink"/>
    <w:basedOn w:val="a0"/>
    <w:uiPriority w:val="99"/>
    <w:unhideWhenUsed/>
    <w:rsid w:val="00B770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0D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4A0F1A"/>
    <w:rPr>
      <w:rFonts w:ascii="Times New Roman" w:hAnsi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D35D1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6119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F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ker-quote3">
    <w:name w:val="marker-quote3"/>
    <w:basedOn w:val="a"/>
    <w:rsid w:val="00D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B3"/>
    <w:rPr>
      <w:b/>
      <w:bCs/>
    </w:rPr>
  </w:style>
  <w:style w:type="character" w:customStyle="1" w:styleId="apple-converted-space">
    <w:name w:val="apple-converted-space"/>
    <w:basedOn w:val="a0"/>
    <w:rsid w:val="005652B3"/>
  </w:style>
  <w:style w:type="character" w:styleId="a5">
    <w:name w:val="Hyperlink"/>
    <w:basedOn w:val="a0"/>
    <w:uiPriority w:val="99"/>
    <w:unhideWhenUsed/>
    <w:rsid w:val="00B770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0D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4A0F1A"/>
    <w:rPr>
      <w:rFonts w:ascii="Times New Roman" w:hAnsi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D35D1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6119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F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60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2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11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ks.ru/bgd/free/B04_03/IssWWW.exe/Stg/d06/81.htm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/bgd/free/B04_03/IssWWW.exe/Stg/d06/94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trielt.ru/" TargetMode="Externa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hyperlink" Target="http://blade-g.livejournal.com/497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9D7D-DCC9-4E41-AC00-45584C9F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Чирков</dc:creator>
  <cp:lastModifiedBy>Netbook</cp:lastModifiedBy>
  <cp:revision>2</cp:revision>
  <dcterms:created xsi:type="dcterms:W3CDTF">2016-07-02T15:27:00Z</dcterms:created>
  <dcterms:modified xsi:type="dcterms:W3CDTF">2016-07-02T15:27:00Z</dcterms:modified>
</cp:coreProperties>
</file>