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44" w:rsidRPr="00D74407" w:rsidRDefault="00F208C8" w:rsidP="00A43445">
      <w:pPr>
        <w:pStyle w:val="marker-quote3"/>
        <w:spacing w:before="0" w:beforeAutospacing="0" w:after="0" w:afterAutospacing="0"/>
        <w:ind w:firstLine="284"/>
        <w:contextualSpacing/>
        <w:jc w:val="center"/>
        <w:rPr>
          <w:rFonts w:ascii="Arial" w:hAnsi="Arial" w:cs="Arial"/>
          <w:noProof/>
          <w:sz w:val="28"/>
          <w:szCs w:val="28"/>
        </w:rPr>
      </w:pPr>
      <w:r w:rsidRPr="000B468E">
        <w:rPr>
          <w:rStyle w:val="a4"/>
          <w:rFonts w:ascii="Arial" w:hAnsi="Arial" w:cs="Arial"/>
          <w:color w:val="365F91" w:themeColor="accent1" w:themeShade="BF"/>
          <w:sz w:val="28"/>
          <w:szCs w:val="28"/>
          <w:shd w:val="clear" w:color="auto" w:fill="FFFFFF"/>
        </w:rPr>
        <w:t>Анализ влияния общей политической и социально-экономической о</w:t>
      </w:r>
      <w:r w:rsidR="00A9509C">
        <w:rPr>
          <w:rStyle w:val="a4"/>
          <w:rFonts w:ascii="Arial" w:hAnsi="Arial" w:cs="Arial"/>
          <w:color w:val="365F91" w:themeColor="accent1" w:themeShade="BF"/>
          <w:sz w:val="28"/>
          <w:szCs w:val="28"/>
          <w:shd w:val="clear" w:color="auto" w:fill="FFFFFF"/>
        </w:rPr>
        <w:t>бстановки на рынок недвижимости</w:t>
      </w:r>
    </w:p>
    <w:p w:rsidR="008258DD" w:rsidRDefault="008258DD" w:rsidP="00A43445">
      <w:pPr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Основные политические события, влияющие на </w:t>
      </w:r>
      <w:r w:rsidR="00CC21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экономику России</w:t>
      </w:r>
    </w:p>
    <w:p w:rsidR="008258DD" w:rsidRDefault="00CC211B" w:rsidP="0006505F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США и руководство Евросоюза сохраняют санкции в отношении Российской Федерации, </w:t>
      </w:r>
      <w:r w:rsidR="0006505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введенные в 2014 году, </w:t>
      </w:r>
      <w:r w:rsidR="004820BA">
        <w:rPr>
          <w:rFonts w:ascii="Arial" w:eastAsia="Times New Roman" w:hAnsi="Arial" w:cs="Arial"/>
          <w:bCs/>
          <w:sz w:val="20"/>
          <w:szCs w:val="20"/>
          <w:lang w:eastAsia="ru-RU"/>
        </w:rPr>
        <w:t>но</w:t>
      </w:r>
      <w:r w:rsidR="0006505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последнее время многие политические </w:t>
      </w:r>
      <w:r w:rsidR="00D74515">
        <w:rPr>
          <w:rFonts w:ascii="Arial" w:eastAsia="Times New Roman" w:hAnsi="Arial" w:cs="Arial"/>
          <w:bCs/>
          <w:sz w:val="20"/>
          <w:szCs w:val="20"/>
          <w:lang w:eastAsia="ru-RU"/>
        </w:rPr>
        <w:t>партии, парламенты</w:t>
      </w:r>
      <w:r w:rsidR="0006505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бизнес Запада выступают за их отмену.</w:t>
      </w:r>
      <w:r w:rsidR="00E242E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A0B9B">
        <w:rPr>
          <w:rFonts w:ascii="Arial" w:eastAsia="Times New Roman" w:hAnsi="Arial" w:cs="Arial"/>
          <w:bCs/>
          <w:sz w:val="20"/>
          <w:szCs w:val="20"/>
          <w:lang w:eastAsia="ru-RU"/>
        </w:rPr>
        <w:t>Экономическое неравенство стран Евросоюза, миграционный кризис, р</w:t>
      </w:r>
      <w:r w:rsidR="00E242E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езультаты референдума в Великобритании </w:t>
      </w:r>
      <w:r w:rsidR="0085715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предложения других европейских политических лидеров </w:t>
      </w:r>
      <w:r w:rsidR="00E242E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 выходе из Евросоюза подтверждают, что страны Запада не имеют </w:t>
      </w:r>
      <w:r w:rsidR="0085715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политического и </w:t>
      </w:r>
      <w:r w:rsidR="00E242E1">
        <w:rPr>
          <w:rFonts w:ascii="Arial" w:eastAsia="Times New Roman" w:hAnsi="Arial" w:cs="Arial"/>
          <w:bCs/>
          <w:sz w:val="20"/>
          <w:szCs w:val="20"/>
          <w:lang w:eastAsia="ru-RU"/>
        </w:rPr>
        <w:t>экономического единства</w:t>
      </w:r>
      <w:r w:rsidR="000C6A1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0948F3" w:rsidRPr="000948F3" w:rsidRDefault="00A00CDD" w:rsidP="000948F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Санкции, «и</w:t>
      </w:r>
      <w:r w:rsidR="000C6A14">
        <w:rPr>
          <w:rFonts w:ascii="Arial" w:eastAsia="Times New Roman" w:hAnsi="Arial" w:cs="Arial"/>
          <w:bCs/>
          <w:sz w:val="20"/>
          <w:szCs w:val="20"/>
          <w:lang w:eastAsia="ru-RU"/>
        </w:rPr>
        <w:t>сключение</w:t>
      </w:r>
      <w:r w:rsidR="002C5C6D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0C6A1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из </w:t>
      </w:r>
      <w:r w:rsidR="002C5C6D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большой </w:t>
      </w:r>
      <w:r w:rsidR="000C6A14">
        <w:rPr>
          <w:rFonts w:ascii="Arial" w:eastAsia="Times New Roman" w:hAnsi="Arial" w:cs="Arial"/>
          <w:bCs/>
          <w:sz w:val="20"/>
          <w:szCs w:val="20"/>
          <w:lang w:eastAsia="ru-RU"/>
        </w:rPr>
        <w:t>восьмерки</w:t>
      </w:r>
      <w:r w:rsidR="002C5C6D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8C200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лишение права голоса в ПАСЕ и другие недружественные политические 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>акции</w:t>
      </w:r>
      <w:r w:rsidR="00E025D4" w:rsidRPr="00E025D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>со стороны Запада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в том числе на Украине,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побу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>ждают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Росс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ию 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развитию политических и экономических связей с 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>другими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странам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рамках ШОС, БРИКС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Китаем, Индией, Ираном, 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>Бразилией, ЮАР, Венесуэлой</w:t>
      </w:r>
      <w:r w:rsidR="007A0B9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другими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E025D4">
        <w:rPr>
          <w:rFonts w:ascii="Arial" w:eastAsia="Times New Roman" w:hAnsi="Arial" w:cs="Arial"/>
          <w:bCs/>
          <w:sz w:val="20"/>
          <w:szCs w:val="20"/>
          <w:lang w:eastAsia="ru-RU"/>
        </w:rPr>
        <w:t>а также восстанавливать и углублять взаимоотношения со странами – бывшими советскими республиками</w:t>
      </w:r>
      <w:proofErr w:type="gramStart"/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948F3">
        <w:rPr>
          <w:rFonts w:ascii="Arial" w:eastAsia="Times New Roman" w:hAnsi="Arial" w:cs="Arial"/>
          <w:sz w:val="20"/>
          <w:szCs w:val="20"/>
          <w:lang w:eastAsia="ru-RU"/>
        </w:rPr>
        <w:t>Создаются</w:t>
      </w:r>
      <w:r w:rsidR="000948F3" w:rsidRPr="000948F3">
        <w:rPr>
          <w:rFonts w:ascii="Arial" w:eastAsia="Times New Roman" w:hAnsi="Arial" w:cs="Arial"/>
          <w:sz w:val="20"/>
          <w:szCs w:val="20"/>
          <w:lang w:eastAsia="ru-RU"/>
        </w:rPr>
        <w:t xml:space="preserve"> механизм</w:t>
      </w:r>
      <w:r w:rsidR="000948F3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0948F3" w:rsidRPr="000948F3">
        <w:rPr>
          <w:rFonts w:ascii="Arial" w:eastAsia="Times New Roman" w:hAnsi="Arial" w:cs="Arial"/>
          <w:sz w:val="20"/>
          <w:szCs w:val="20"/>
          <w:lang w:eastAsia="ru-RU"/>
        </w:rPr>
        <w:t>, которы</w:t>
      </w:r>
      <w:r w:rsidR="000948F3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948F3" w:rsidRPr="000948F3">
        <w:rPr>
          <w:rFonts w:ascii="Arial" w:eastAsia="Times New Roman" w:hAnsi="Arial" w:cs="Arial"/>
          <w:sz w:val="20"/>
          <w:szCs w:val="20"/>
          <w:lang w:eastAsia="ru-RU"/>
        </w:rPr>
        <w:t xml:space="preserve"> позвол</w:t>
      </w:r>
      <w:r w:rsidR="000948F3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0948F3" w:rsidRPr="000948F3">
        <w:rPr>
          <w:rFonts w:ascii="Arial" w:eastAsia="Times New Roman" w:hAnsi="Arial" w:cs="Arial"/>
          <w:sz w:val="20"/>
          <w:szCs w:val="20"/>
          <w:lang w:eastAsia="ru-RU"/>
        </w:rPr>
        <w:t xml:space="preserve">т отказаться от доллара и евро в качестве </w:t>
      </w:r>
      <w:r w:rsidR="000948F3">
        <w:rPr>
          <w:rFonts w:ascii="Arial" w:eastAsia="Times New Roman" w:hAnsi="Arial" w:cs="Arial"/>
          <w:sz w:val="20"/>
          <w:szCs w:val="20"/>
          <w:lang w:eastAsia="ru-RU"/>
        </w:rPr>
        <w:t>международных валют в расчетах и снизить финансовую зависимость от Запада.</w:t>
      </w:r>
      <w:r w:rsidR="000948F3" w:rsidRPr="000948F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C6A14" w:rsidRDefault="0006505F" w:rsidP="00FB2CE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Россия вышла из войны в Сирии с положительными результатами, показав высокую организованность 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>оборонного ведомства,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эффективность российского оружия и </w:t>
      </w:r>
      <w:r w:rsidR="00D74515">
        <w:rPr>
          <w:rFonts w:ascii="Arial" w:eastAsia="Times New Roman" w:hAnsi="Arial" w:cs="Arial"/>
          <w:bCs/>
          <w:sz w:val="20"/>
          <w:szCs w:val="20"/>
          <w:lang w:eastAsia="ru-RU"/>
        </w:rPr>
        <w:t>переломив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инициативу </w:t>
      </w:r>
      <w:r w:rsidR="00D7451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войне в пользу 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дружественной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сирийской 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официальной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власти</w:t>
      </w:r>
      <w:r w:rsidR="00FB2CE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7E5769" w:rsidRDefault="007E5769" w:rsidP="00D7451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отношениях с Турцией, резко ухудшившихся после </w:t>
      </w:r>
      <w:r w:rsidR="005E63E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сбитого 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>турками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>24 ноября 2015 года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4820BA">
        <w:rPr>
          <w:rFonts w:ascii="Arial" w:eastAsia="Times New Roman" w:hAnsi="Arial" w:cs="Arial"/>
          <w:bCs/>
          <w:sz w:val="20"/>
          <w:szCs w:val="20"/>
          <w:lang w:eastAsia="ru-RU"/>
        </w:rPr>
        <w:t>российск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>ого</w:t>
      </w:r>
      <w:r w:rsidR="004820B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самолет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>а, наступают улучшения. Турецкий президент принес извинения России и выразил готовность компенсировать</w:t>
      </w:r>
      <w:r w:rsidR="004820B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7424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нанесенный ущерб. </w:t>
      </w:r>
      <w:r w:rsidR="0062769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Российская сторона </w:t>
      </w:r>
      <w:r w:rsidR="000C6A1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выразила готовность </w:t>
      </w:r>
      <w:r w:rsidR="00DF06A2" w:rsidRPr="00DF06A2">
        <w:rPr>
          <w:rFonts w:ascii="Arial" w:eastAsia="Times New Roman" w:hAnsi="Arial" w:cs="Arial"/>
          <w:bCs/>
          <w:sz w:val="20"/>
          <w:szCs w:val="20"/>
          <w:lang w:eastAsia="ru-RU"/>
        </w:rPr>
        <w:t>начать п</w:t>
      </w:r>
      <w:r w:rsidR="000C6A14">
        <w:rPr>
          <w:rFonts w:ascii="Arial" w:eastAsia="Times New Roman" w:hAnsi="Arial" w:cs="Arial"/>
          <w:bCs/>
          <w:sz w:val="20"/>
          <w:szCs w:val="20"/>
          <w:lang w:eastAsia="ru-RU"/>
        </w:rPr>
        <w:t>роцесс нормализации взаимных отношений.</w:t>
      </w:r>
    </w:p>
    <w:p w:rsidR="00B74247" w:rsidRDefault="000C6A14" w:rsidP="00D7451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этих условиях позиции России в мире укрепляются, что </w:t>
      </w:r>
      <w:r w:rsidR="000948F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r w:rsidR="00491B4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ближайшее время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благоприятно скажется и на экономике </w:t>
      </w:r>
      <w:r w:rsidR="000948F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нашей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страны.</w:t>
      </w:r>
    </w:p>
    <w:p w:rsidR="00CC211B" w:rsidRPr="00CC211B" w:rsidRDefault="00CC211B" w:rsidP="00CC211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76C65" w:rsidRPr="004B1153" w:rsidRDefault="00F208C8" w:rsidP="00A434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B11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Основные </w:t>
      </w:r>
      <w:r w:rsidR="00677B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экономические показатели России</w:t>
      </w:r>
    </w:p>
    <w:p w:rsidR="00DB796C" w:rsidRPr="004B1153" w:rsidRDefault="00DB796C" w:rsidP="000B01DB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59A7" w:rsidRPr="000B01DB" w:rsidRDefault="002659A7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Динамика реального объема </w:t>
      </w:r>
      <w:r w:rsidRPr="000B121B">
        <w:rPr>
          <w:rFonts w:ascii="Arial" w:eastAsia="Times New Roman" w:hAnsi="Arial" w:cs="Arial"/>
          <w:b/>
          <w:sz w:val="20"/>
          <w:szCs w:val="20"/>
          <w:lang w:eastAsia="ru-RU"/>
        </w:rPr>
        <w:t>валового внутреннего продукта</w:t>
      </w:r>
      <w:r w:rsidRPr="000B01DB">
        <w:rPr>
          <w:rFonts w:ascii="Arial" w:eastAsia="Times New Roman" w:hAnsi="Arial" w:cs="Arial"/>
          <w:sz w:val="20"/>
          <w:szCs w:val="20"/>
          <w:lang w:eastAsia="ru-RU"/>
        </w:rPr>
        <w:t>, прирост (снижение)</w:t>
      </w:r>
      <w:r w:rsidR="00F208C8" w:rsidRPr="000B01D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76C65"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659A7" w:rsidRPr="000B01DB" w:rsidRDefault="00876C65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% </w:t>
      </w:r>
      <w:r w:rsidR="00F208C8"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к предыдущему </w:t>
      </w:r>
      <w:r w:rsidR="002659A7" w:rsidRPr="000B01DB">
        <w:rPr>
          <w:rFonts w:ascii="Arial" w:eastAsia="Times New Roman" w:hAnsi="Arial" w:cs="Arial"/>
          <w:sz w:val="20"/>
          <w:szCs w:val="20"/>
          <w:lang w:eastAsia="ru-RU"/>
        </w:rPr>
        <w:t>периоду</w:t>
      </w:r>
    </w:p>
    <w:tbl>
      <w:tblPr>
        <w:tblW w:w="7229" w:type="dxa"/>
        <w:jc w:val="center"/>
        <w:tblCellSpacing w:w="7" w:type="dxa"/>
        <w:tblInd w:w="123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8"/>
        <w:gridCol w:w="1089"/>
        <w:gridCol w:w="947"/>
        <w:gridCol w:w="957"/>
        <w:gridCol w:w="3008"/>
      </w:tblGrid>
      <w:tr w:rsidR="00677BBF" w:rsidRPr="007E5769" w:rsidTr="008F31E2">
        <w:trPr>
          <w:tblCellSpacing w:w="7" w:type="dxa"/>
          <w:jc w:val="center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. 2016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.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 xml:space="preserve"> % 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 xml:space="preserve"> I </w:t>
            </w:r>
            <w:proofErr w:type="spellStart"/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. 2015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.</w:t>
            </w:r>
          </w:p>
        </w:tc>
      </w:tr>
      <w:tr w:rsidR="00677BBF" w:rsidRPr="000B01DB" w:rsidTr="008F31E2">
        <w:trPr>
          <w:tblCellSpacing w:w="7" w:type="dxa"/>
          <w:jc w:val="center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77BBF" w:rsidRPr="000B01DB" w:rsidRDefault="00677BBF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-1,2</w:t>
            </w:r>
          </w:p>
        </w:tc>
      </w:tr>
    </w:tbl>
    <w:p w:rsidR="000B01DB" w:rsidRDefault="000B01DB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5AC" w:rsidRPr="000B01DB" w:rsidRDefault="00F208C8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121B">
        <w:rPr>
          <w:rFonts w:ascii="Arial" w:eastAsia="Times New Roman" w:hAnsi="Arial" w:cs="Arial"/>
          <w:b/>
          <w:sz w:val="20"/>
          <w:szCs w:val="20"/>
          <w:lang w:eastAsia="ru-RU"/>
        </w:rPr>
        <w:t>Объем</w:t>
      </w:r>
      <w:r w:rsidR="00DB796C" w:rsidRPr="000B121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промышленного производства</w:t>
      </w:r>
      <w:r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76C65"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% к предыдущему </w:t>
      </w:r>
      <w:r w:rsidR="003C25AC" w:rsidRPr="000B01DB">
        <w:rPr>
          <w:rFonts w:ascii="Arial" w:eastAsia="Times New Roman" w:hAnsi="Arial" w:cs="Arial"/>
          <w:sz w:val="20"/>
          <w:szCs w:val="20"/>
          <w:lang w:eastAsia="ru-RU"/>
        </w:rPr>
        <w:t>периоду</w:t>
      </w:r>
    </w:p>
    <w:tbl>
      <w:tblPr>
        <w:tblW w:w="8551" w:type="dxa"/>
        <w:jc w:val="center"/>
        <w:tblCellSpacing w:w="7" w:type="dxa"/>
        <w:tblInd w:w="10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4"/>
        <w:gridCol w:w="1081"/>
        <w:gridCol w:w="1081"/>
        <w:gridCol w:w="1081"/>
        <w:gridCol w:w="1081"/>
        <w:gridCol w:w="1783"/>
      </w:tblGrid>
      <w:tr w:rsidR="003C25AC" w:rsidRPr="000B01DB" w:rsidTr="000B01DB">
        <w:trPr>
          <w:tblCellSpacing w:w="7" w:type="dxa"/>
          <w:jc w:val="center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0B01DB" w:rsidRDefault="002E62F2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0B01DB" w:rsidRDefault="002E62F2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0B01DB" w:rsidRDefault="002E62F2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I кв. 2016г.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в % к 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I кв.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</w:tr>
      <w:tr w:rsidR="003C25AC" w:rsidRPr="000B01DB" w:rsidTr="000B01DB">
        <w:trPr>
          <w:trHeight w:val="60"/>
          <w:tblCellSpacing w:w="7" w:type="dxa"/>
          <w:jc w:val="center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-0,6</w:t>
            </w:r>
          </w:p>
        </w:tc>
      </w:tr>
    </w:tbl>
    <w:p w:rsidR="000B01DB" w:rsidRDefault="000B01DB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5AC" w:rsidRPr="000B01DB" w:rsidRDefault="00DB796C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121B">
        <w:rPr>
          <w:rFonts w:ascii="Arial" w:eastAsia="Times New Roman" w:hAnsi="Arial" w:cs="Arial"/>
          <w:b/>
          <w:sz w:val="20"/>
          <w:szCs w:val="20"/>
          <w:lang w:eastAsia="ru-RU"/>
        </w:rPr>
        <w:t>Динамика потребительских цен</w:t>
      </w:r>
      <w:r w:rsidR="00F208C8"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76C65" w:rsidRPr="000B01DB">
        <w:rPr>
          <w:rFonts w:ascii="Arial" w:eastAsia="Times New Roman" w:hAnsi="Arial" w:cs="Arial"/>
          <w:sz w:val="20"/>
          <w:szCs w:val="20"/>
          <w:lang w:eastAsia="ru-RU"/>
        </w:rPr>
        <w:t>% к предыдущему периоду</w:t>
      </w:r>
    </w:p>
    <w:tbl>
      <w:tblPr>
        <w:tblW w:w="8505" w:type="dxa"/>
        <w:jc w:val="center"/>
        <w:tblCellSpacing w:w="7" w:type="dxa"/>
        <w:tblInd w:w="5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6"/>
        <w:gridCol w:w="1034"/>
        <w:gridCol w:w="810"/>
        <w:gridCol w:w="811"/>
        <w:gridCol w:w="811"/>
        <w:gridCol w:w="1263"/>
        <w:gridCol w:w="1570"/>
      </w:tblGrid>
      <w:tr w:rsidR="002E62F2" w:rsidRPr="000B01DB" w:rsidTr="00E66224">
        <w:trPr>
          <w:tblCellSpacing w:w="7" w:type="dxa"/>
          <w:jc w:val="center"/>
        </w:trPr>
        <w:tc>
          <w:tcPr>
            <w:tcW w:w="12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Март 2016г. </w:t>
            </w:r>
            <w:proofErr w:type="gramStart"/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2E62F2" w:rsidRPr="000B01DB" w:rsidTr="00E66224">
        <w:trPr>
          <w:tblCellSpacing w:w="7" w:type="dxa"/>
          <w:jc w:val="center"/>
        </w:trPr>
        <w:tc>
          <w:tcPr>
            <w:tcW w:w="12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февралю 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2016г.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марту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</w:tr>
      <w:tr w:rsidR="002E62F2" w:rsidRPr="000B01DB" w:rsidTr="00E66224">
        <w:trPr>
          <w:tblCellSpacing w:w="7" w:type="dxa"/>
          <w:jc w:val="center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0B01DB" w:rsidRDefault="003C25AC" w:rsidP="000B01DB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7,3</w:t>
            </w:r>
          </w:p>
        </w:tc>
      </w:tr>
    </w:tbl>
    <w:p w:rsidR="000B01DB" w:rsidRDefault="000B01DB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505DC" w:rsidRPr="000B01DB" w:rsidRDefault="00F208C8" w:rsidP="000B01DB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121B">
        <w:rPr>
          <w:rFonts w:ascii="Arial" w:eastAsia="Times New Roman" w:hAnsi="Arial" w:cs="Arial"/>
          <w:b/>
          <w:sz w:val="20"/>
          <w:szCs w:val="20"/>
          <w:lang w:eastAsia="ru-RU"/>
        </w:rPr>
        <w:t>Уровень безработицы</w:t>
      </w:r>
      <w:r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76C65" w:rsidRPr="000B01DB">
        <w:rPr>
          <w:rFonts w:ascii="Arial" w:eastAsia="Times New Roman" w:hAnsi="Arial" w:cs="Arial"/>
          <w:sz w:val="20"/>
          <w:szCs w:val="20"/>
          <w:lang w:eastAsia="ru-RU"/>
        </w:rPr>
        <w:t xml:space="preserve">% к </w:t>
      </w:r>
      <w:r w:rsidR="009505DC" w:rsidRPr="000B01DB">
        <w:rPr>
          <w:rFonts w:ascii="Arial" w:eastAsia="Times New Roman" w:hAnsi="Arial" w:cs="Arial"/>
          <w:sz w:val="20"/>
          <w:szCs w:val="20"/>
          <w:lang w:eastAsia="ru-RU"/>
        </w:rPr>
        <w:t>численности рабочей силы экономически активного населения</w:t>
      </w:r>
    </w:p>
    <w:tbl>
      <w:tblPr>
        <w:tblW w:w="8329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1112"/>
        <w:gridCol w:w="1115"/>
        <w:gridCol w:w="1114"/>
        <w:gridCol w:w="1114"/>
        <w:gridCol w:w="1114"/>
      </w:tblGrid>
      <w:tr w:rsidR="009505DC" w:rsidRPr="000B01DB" w:rsidTr="000B01DB">
        <w:trPr>
          <w:trHeight w:val="360"/>
          <w:tblCellSpacing w:w="7" w:type="dxa"/>
          <w:jc w:val="center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0B01DB" w:rsidRDefault="00596141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Март</w:t>
            </w:r>
            <w:r w:rsidRPr="000B0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2016г.</w:t>
            </w:r>
          </w:p>
        </w:tc>
      </w:tr>
      <w:tr w:rsidR="009505DC" w:rsidRPr="000B01DB" w:rsidTr="000B01DB">
        <w:trPr>
          <w:tblCellSpacing w:w="7" w:type="dxa"/>
          <w:jc w:val="center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0B01DB" w:rsidRDefault="009505DC" w:rsidP="000B01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1D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5,9</w:t>
            </w:r>
          </w:p>
        </w:tc>
      </w:tr>
    </w:tbl>
    <w:p w:rsidR="009505DC" w:rsidRPr="000B01DB" w:rsidRDefault="009505DC" w:rsidP="009505DC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01D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E7E9E" w:rsidRPr="000B121B" w:rsidRDefault="00042FDC" w:rsidP="000B121B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Индекс физического объёма </w:t>
      </w:r>
      <w:r w:rsidRPr="000B12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ВВП </w:t>
      </w:r>
      <w:r w:rsidR="00C83491" w:rsidRPr="000B12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России </w:t>
      </w:r>
      <w:r w:rsidRPr="000B12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видам экономической деятельности</w:t>
      </w: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ED09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сопоставимых</w:t>
      </w: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ценах, % к предыдущему году</w:t>
      </w:r>
    </w:p>
    <w:tbl>
      <w:tblPr>
        <w:tblW w:w="9404" w:type="dxa"/>
        <w:jc w:val="center"/>
        <w:tblInd w:w="93" w:type="dxa"/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5544"/>
        <w:gridCol w:w="1220"/>
        <w:gridCol w:w="1680"/>
        <w:gridCol w:w="960"/>
      </w:tblGrid>
      <w:tr w:rsidR="007E7E9E" w:rsidRPr="007E7E9E" w:rsidTr="007E7E9E">
        <w:trPr>
          <w:trHeight w:val="315"/>
          <w:jc w:val="center"/>
        </w:trPr>
        <w:tc>
          <w:tcPr>
            <w:tcW w:w="5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7E7E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Справочно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7E7E9E" w:rsidRPr="007E7E9E" w:rsidTr="007E7E9E">
        <w:trPr>
          <w:trHeight w:val="630"/>
          <w:jc w:val="center"/>
        </w:trPr>
        <w:tc>
          <w:tcPr>
            <w:tcW w:w="5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I квартал 2015г.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доля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Валовой внутренний продукт в рыночных ценах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7E7E9E" w:rsidRPr="007E7E9E" w:rsidTr="007E7E9E">
        <w:trPr>
          <w:trHeight w:val="300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производство и распределение электроэнергии, газа и воды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7E7E9E" w:rsidRPr="007E7E9E" w:rsidTr="007E7E9E">
        <w:trPr>
          <w:trHeight w:val="25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 хозяйство, охота и лесное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7E7E9E" w:rsidRPr="007E7E9E" w:rsidTr="007E7E9E">
        <w:trPr>
          <w:trHeight w:val="94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оптовая и розничная торговля; ремонт автотранспортных средств, мотоциклов, бытовых изделий и предметов личного пользования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7E7E9E" w:rsidRPr="007E7E9E" w:rsidTr="007E7E9E">
        <w:trPr>
          <w:trHeight w:val="720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операции с недвижимым имуществом, аренда и предоставление услуг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7E7E9E" w:rsidRPr="007E7E9E" w:rsidTr="007E7E9E">
        <w:trPr>
          <w:trHeight w:val="315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Чистые налоги на продукты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E9E" w:rsidRPr="007E7E9E" w:rsidRDefault="007E7E9E" w:rsidP="007E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</w:tbl>
    <w:p w:rsidR="005B6132" w:rsidRDefault="007E7E9E" w:rsidP="007E7E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E5C44" w:rsidRDefault="00DE5C44" w:rsidP="000B121B">
      <w:pPr>
        <w:pStyle w:val="marker-quote3"/>
        <w:spacing w:before="0" w:beforeAutospacing="0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По данным Госкомстата, </w:t>
      </w:r>
      <w:r w:rsidRPr="000B121B">
        <w:rPr>
          <w:rFonts w:ascii="Arial" w:hAnsi="Arial" w:cs="Arial"/>
          <w:b/>
          <w:bCs/>
          <w:sz w:val="20"/>
          <w:szCs w:val="20"/>
        </w:rPr>
        <w:t>и</w:t>
      </w:r>
      <w:r w:rsidR="007E7E9E" w:rsidRPr="000B121B">
        <w:rPr>
          <w:rFonts w:ascii="Arial" w:hAnsi="Arial" w:cs="Arial"/>
          <w:b/>
          <w:bCs/>
          <w:sz w:val="20"/>
          <w:szCs w:val="20"/>
        </w:rPr>
        <w:t>ндекс предпринимательской уверенности</w:t>
      </w:r>
      <w:r w:rsidR="007E7E9E" w:rsidRPr="007E7E9E">
        <w:rPr>
          <w:rFonts w:ascii="Arial" w:hAnsi="Arial" w:cs="Arial"/>
          <w:sz w:val="20"/>
          <w:szCs w:val="20"/>
        </w:rPr>
        <w:t>,</w:t>
      </w:r>
      <w:r w:rsidR="007E7E9E" w:rsidRPr="007E7E9E">
        <w:rPr>
          <w:rFonts w:ascii="Arial" w:hAnsi="Arial" w:cs="Arial"/>
          <w:b/>
          <w:bCs/>
          <w:sz w:val="20"/>
          <w:szCs w:val="20"/>
        </w:rPr>
        <w:t> </w:t>
      </w:r>
      <w:r w:rsidR="007E7E9E" w:rsidRPr="007E7E9E">
        <w:rPr>
          <w:rFonts w:ascii="Arial" w:hAnsi="Arial" w:cs="Arial"/>
          <w:sz w:val="20"/>
          <w:szCs w:val="20"/>
        </w:rPr>
        <w:t>отражающий обобщенное состояние предпринимательского поведения, в июне 2016</w:t>
      </w:r>
      <w:r w:rsidR="007E7E9E">
        <w:rPr>
          <w:rFonts w:ascii="Arial" w:hAnsi="Arial" w:cs="Arial"/>
          <w:sz w:val="20"/>
          <w:szCs w:val="20"/>
        </w:rPr>
        <w:t xml:space="preserve"> года</w:t>
      </w:r>
      <w:r w:rsidR="007E7E9E" w:rsidRPr="007E7E9E">
        <w:rPr>
          <w:rFonts w:ascii="Arial" w:hAnsi="Arial" w:cs="Arial"/>
          <w:sz w:val="20"/>
          <w:szCs w:val="20"/>
        </w:rPr>
        <w:t xml:space="preserve"> по сравнению с декабрем 2015 повысилс</w:t>
      </w:r>
      <w:r>
        <w:rPr>
          <w:rFonts w:ascii="Arial" w:hAnsi="Arial" w:cs="Arial"/>
          <w:sz w:val="20"/>
          <w:szCs w:val="20"/>
        </w:rPr>
        <w:t>я в добывающих производствах с -5% до 2%</w:t>
      </w:r>
      <w:r w:rsidR="007E7E9E" w:rsidRPr="007E7E9E">
        <w:rPr>
          <w:rFonts w:ascii="Arial" w:hAnsi="Arial" w:cs="Arial"/>
          <w:sz w:val="20"/>
          <w:szCs w:val="20"/>
        </w:rPr>
        <w:t>, в об</w:t>
      </w:r>
      <w:r>
        <w:rPr>
          <w:rFonts w:ascii="Arial" w:hAnsi="Arial" w:cs="Arial"/>
          <w:sz w:val="20"/>
          <w:szCs w:val="20"/>
        </w:rPr>
        <w:t>рабатывающих производствах - с -11% до -4%</w:t>
      </w:r>
      <w:r w:rsidR="007E7E9E" w:rsidRPr="007E7E9E">
        <w:rPr>
          <w:rFonts w:ascii="Arial" w:hAnsi="Arial" w:cs="Arial"/>
          <w:sz w:val="20"/>
          <w:szCs w:val="20"/>
        </w:rPr>
        <w:t>, понизился - в производстве и распределении э</w:t>
      </w:r>
      <w:r>
        <w:rPr>
          <w:rFonts w:ascii="Arial" w:hAnsi="Arial" w:cs="Arial"/>
          <w:sz w:val="20"/>
          <w:szCs w:val="20"/>
        </w:rPr>
        <w:t>лектроэнергии, газа и воды - с 2%</w:t>
      </w:r>
      <w:r w:rsidR="007E7E9E" w:rsidRPr="007E7E9E">
        <w:rPr>
          <w:rFonts w:ascii="Arial" w:hAnsi="Arial" w:cs="Arial"/>
          <w:sz w:val="20"/>
          <w:szCs w:val="20"/>
        </w:rPr>
        <w:t xml:space="preserve"> до </w:t>
      </w:r>
      <w:r>
        <w:rPr>
          <w:rFonts w:ascii="Arial" w:hAnsi="Arial" w:cs="Arial"/>
          <w:sz w:val="20"/>
          <w:szCs w:val="20"/>
        </w:rPr>
        <w:t>-10%</w:t>
      </w:r>
      <w:r w:rsidR="007E7E9E" w:rsidRPr="007E7E9E">
        <w:rPr>
          <w:rFonts w:ascii="Arial" w:hAnsi="Arial" w:cs="Arial"/>
          <w:sz w:val="20"/>
          <w:szCs w:val="20"/>
        </w:rPr>
        <w:t>.</w:t>
      </w:r>
      <w:r w:rsidR="007E7E9E">
        <w:rPr>
          <w:rFonts w:ascii="Arial" w:hAnsi="Arial" w:cs="Arial"/>
          <w:sz w:val="20"/>
          <w:szCs w:val="20"/>
        </w:rPr>
        <w:t xml:space="preserve"> </w:t>
      </w:r>
      <w:r w:rsidRPr="00DE5C44">
        <w:rPr>
          <w:rFonts w:ascii="Arial" w:hAnsi="Arial" w:cs="Arial"/>
          <w:bCs/>
          <w:sz w:val="20"/>
          <w:szCs w:val="20"/>
        </w:rPr>
        <w:t>Средний уровень загрузки производственных мощностей</w:t>
      </w:r>
      <w:r w:rsidRPr="00DE5C44">
        <w:rPr>
          <w:rFonts w:ascii="Arial" w:hAnsi="Arial" w:cs="Arial"/>
          <w:sz w:val="20"/>
          <w:szCs w:val="20"/>
        </w:rPr>
        <w:t>, по оценке опрошенных руководителей, в июне 2016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E5C44">
        <w:rPr>
          <w:rFonts w:ascii="Arial" w:hAnsi="Arial" w:cs="Arial"/>
          <w:sz w:val="20"/>
          <w:szCs w:val="20"/>
        </w:rPr>
        <w:t xml:space="preserve">г. составил 63%. </w:t>
      </w:r>
    </w:p>
    <w:p w:rsidR="00DE5C44" w:rsidRPr="00DE5C44" w:rsidRDefault="00DE5C44" w:rsidP="00DE5C44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DE5C44">
        <w:rPr>
          <w:rFonts w:ascii="Arial" w:hAnsi="Arial" w:cs="Arial"/>
          <w:sz w:val="20"/>
          <w:szCs w:val="20"/>
        </w:rPr>
        <w:t>92% респондентов считают, что их производственные мощности обеспечат</w:t>
      </w:r>
      <w:r w:rsidRPr="00DE5C44">
        <w:rPr>
          <w:rFonts w:ascii="Arial" w:hAnsi="Arial" w:cs="Arial"/>
          <w:b/>
          <w:bCs/>
          <w:sz w:val="20"/>
          <w:szCs w:val="20"/>
        </w:rPr>
        <w:t> </w:t>
      </w:r>
      <w:r w:rsidRPr="00DE5C44">
        <w:rPr>
          <w:rFonts w:ascii="Arial" w:hAnsi="Arial" w:cs="Arial"/>
          <w:sz w:val="20"/>
          <w:szCs w:val="20"/>
        </w:rPr>
        <w:t>удовлетворение ожидаемого в ближайшие 6 месяцев спроса на продукцию, из них 12% указывают на избыточность имеющихся мощностей.</w:t>
      </w:r>
      <w:proofErr w:type="gramEnd"/>
    </w:p>
    <w:p w:rsidR="008E2551" w:rsidRPr="008E2551" w:rsidRDefault="008E2551" w:rsidP="008E2551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8E2551">
        <w:rPr>
          <w:rFonts w:ascii="Arial" w:hAnsi="Arial" w:cs="Arial"/>
          <w:sz w:val="20"/>
          <w:szCs w:val="20"/>
        </w:rPr>
        <w:t xml:space="preserve">Индекс предпринимательской уверенности организаций обрабатывающих производств по России </w:t>
      </w:r>
      <w:r>
        <w:rPr>
          <w:rFonts w:ascii="Arial" w:hAnsi="Arial" w:cs="Arial"/>
          <w:sz w:val="20"/>
          <w:szCs w:val="20"/>
        </w:rPr>
        <w:t xml:space="preserve">в сравнении с </w:t>
      </w:r>
      <w:r w:rsidRPr="008E2551">
        <w:rPr>
          <w:rFonts w:ascii="Arial" w:hAnsi="Arial" w:cs="Arial"/>
          <w:sz w:val="20"/>
          <w:szCs w:val="20"/>
        </w:rPr>
        <w:t>отдельным</w:t>
      </w:r>
      <w:r>
        <w:rPr>
          <w:rFonts w:ascii="Arial" w:hAnsi="Arial" w:cs="Arial"/>
          <w:sz w:val="20"/>
          <w:szCs w:val="20"/>
        </w:rPr>
        <w:t>и</w:t>
      </w:r>
      <w:r w:rsidRPr="008E2551">
        <w:rPr>
          <w:rFonts w:ascii="Arial" w:hAnsi="Arial" w:cs="Arial"/>
          <w:sz w:val="20"/>
          <w:szCs w:val="20"/>
        </w:rPr>
        <w:t xml:space="preserve"> странам</w:t>
      </w:r>
      <w:r>
        <w:rPr>
          <w:rFonts w:ascii="Arial" w:hAnsi="Arial" w:cs="Arial"/>
          <w:sz w:val="20"/>
          <w:szCs w:val="20"/>
        </w:rPr>
        <w:t>и</w:t>
      </w:r>
      <w:proofErr w:type="gramStart"/>
      <w:r w:rsidRPr="008E2551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8E2551">
        <w:rPr>
          <w:rFonts w:ascii="Arial" w:hAnsi="Arial" w:cs="Arial"/>
          <w:sz w:val="20"/>
          <w:szCs w:val="20"/>
          <w:vertAlign w:val="superscript"/>
        </w:rPr>
        <w:t>)</w:t>
      </w:r>
      <w:r w:rsidRPr="008E2551">
        <w:rPr>
          <w:rFonts w:ascii="Arial" w:hAnsi="Arial" w:cs="Arial"/>
          <w:sz w:val="20"/>
          <w:szCs w:val="20"/>
        </w:rPr>
        <w:t>:</w:t>
      </w:r>
    </w:p>
    <w:p w:rsidR="008E2551" w:rsidRPr="008E2551" w:rsidRDefault="008E2551" w:rsidP="008E2551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8E2551">
        <w:rPr>
          <w:rFonts w:ascii="Arial" w:hAnsi="Arial" w:cs="Arial"/>
          <w:sz w:val="20"/>
          <w:szCs w:val="20"/>
        </w:rPr>
        <w:t>в процентах</w:t>
      </w:r>
    </w:p>
    <w:tbl>
      <w:tblPr>
        <w:tblW w:w="9285" w:type="dxa"/>
        <w:tblCellSpacing w:w="7" w:type="dxa"/>
        <w:tblInd w:w="96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5"/>
        <w:gridCol w:w="1300"/>
        <w:gridCol w:w="1300"/>
        <w:gridCol w:w="1943"/>
        <w:gridCol w:w="1300"/>
        <w:gridCol w:w="1307"/>
      </w:tblGrid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8045C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8045C" w:rsidRPr="008E2551" w:rsidRDefault="008E2551" w:rsidP="008E2551">
            <w:pPr>
              <w:pStyle w:val="marker-quote3"/>
              <w:ind w:hanging="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Декабрь</w:t>
            </w: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2015г.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8045C" w:rsidRPr="008E2551" w:rsidRDefault="008E2551" w:rsidP="008E2551">
            <w:pPr>
              <w:pStyle w:val="marker-quote3"/>
              <w:ind w:hanging="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Май</w:t>
            </w: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2016г.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CCFF"/>
            <w:hideMark/>
          </w:tcPr>
          <w:p w:rsidR="0058045C" w:rsidRPr="008E2551" w:rsidRDefault="008E2551" w:rsidP="008E2551">
            <w:pPr>
              <w:pStyle w:val="marker-quote3"/>
              <w:ind w:hanging="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8045C" w:rsidRPr="008E2551" w:rsidRDefault="008E2551" w:rsidP="008E2551">
            <w:pPr>
              <w:pStyle w:val="marker-quote3"/>
              <w:ind w:hanging="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Декабрь</w:t>
            </w: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2015г.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8045C" w:rsidRPr="008E2551" w:rsidRDefault="008E2551" w:rsidP="008E2551">
            <w:pPr>
              <w:pStyle w:val="marker-quote3"/>
              <w:ind w:hanging="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Май</w:t>
            </w: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2016г.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b/>
                <w:bCs/>
                <w:sz w:val="20"/>
                <w:szCs w:val="20"/>
              </w:rPr>
              <w:t>Россия</w:t>
            </w:r>
            <w:proofErr w:type="gramStart"/>
            <w:r w:rsidRPr="008E255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8E255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b/>
                <w:bCs/>
                <w:sz w:val="20"/>
                <w:szCs w:val="20"/>
              </w:rPr>
              <w:t>-6,7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b/>
                <w:bCs/>
                <w:sz w:val="20"/>
                <w:szCs w:val="20"/>
              </w:rPr>
              <w:t>-5,3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Люксембург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-25,6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-9,6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Австрия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-2,4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-8,1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Нидерланды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Бельгия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-3,0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-6,4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Польша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-12,2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-12,7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Великобритания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-7,4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-1,4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Португалия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-2,2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-1,4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Венгрия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Словакия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Германия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-2,1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-3,2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Финляндия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-7,5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-12,9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Греция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-13,6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-11,6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Франция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-4,1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-3,7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Дания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-5,2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-8,1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Чехия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Испания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-4,2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Швеция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F31E2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8E2551" w:rsidRPr="008E2551" w:rsidTr="008E2551">
        <w:trPr>
          <w:tblCellSpacing w:w="7" w:type="dxa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Италия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-1,5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551" w:rsidRPr="008E2551" w:rsidTr="008E2551">
        <w:trPr>
          <w:tblCellSpacing w:w="7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E2551" w:rsidRPr="008E2551" w:rsidRDefault="008E2551" w:rsidP="008E2551">
            <w:pPr>
              <w:pStyle w:val="marker-quote3"/>
              <w:ind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 июнь 2016г. индекс предпринимательской уверенности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 России составил </w:t>
            </w:r>
            <w:r w:rsidRPr="008E2551">
              <w:rPr>
                <w:rFonts w:ascii="Arial" w:hAnsi="Arial" w:cs="Arial"/>
                <w:i/>
                <w:iCs/>
                <w:sz w:val="20"/>
                <w:szCs w:val="20"/>
              </w:rPr>
              <w:t>-5,6%.</w:t>
            </w:r>
          </w:p>
        </w:tc>
      </w:tr>
    </w:tbl>
    <w:p w:rsidR="007E7E9E" w:rsidRDefault="00DE5C44" w:rsidP="000B121B">
      <w:pPr>
        <w:pStyle w:val="marker-quote3"/>
        <w:spacing w:before="0" w:beforeAutospacing="0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DE5C44">
        <w:rPr>
          <w:rFonts w:ascii="Arial" w:hAnsi="Arial" w:cs="Arial"/>
          <w:sz w:val="20"/>
          <w:szCs w:val="20"/>
        </w:rPr>
        <w:lastRenderedPageBreak/>
        <w:t>Среди </w:t>
      </w:r>
      <w:r>
        <w:rPr>
          <w:rFonts w:ascii="Arial" w:hAnsi="Arial" w:cs="Arial"/>
          <w:bCs/>
          <w:sz w:val="20"/>
          <w:szCs w:val="20"/>
        </w:rPr>
        <w:t xml:space="preserve">факторов, </w:t>
      </w:r>
      <w:r w:rsidRPr="00DE5C44">
        <w:rPr>
          <w:rFonts w:ascii="Arial" w:hAnsi="Arial" w:cs="Arial"/>
          <w:bCs/>
          <w:sz w:val="20"/>
          <w:szCs w:val="20"/>
        </w:rPr>
        <w:t>ограничивающих,</w:t>
      </w:r>
      <w:r w:rsidRPr="00DE5C44">
        <w:rPr>
          <w:rFonts w:ascii="Arial" w:hAnsi="Arial" w:cs="Arial"/>
          <w:sz w:val="20"/>
          <w:szCs w:val="20"/>
        </w:rPr>
        <w:t> по мнению руководителей,</w:t>
      </w:r>
      <w:r w:rsidRPr="00DE5C44">
        <w:rPr>
          <w:rFonts w:ascii="Arial" w:hAnsi="Arial" w:cs="Arial"/>
          <w:bCs/>
          <w:sz w:val="20"/>
          <w:szCs w:val="20"/>
        </w:rPr>
        <w:t> рост производства,</w:t>
      </w:r>
      <w:r w:rsidRPr="00DE5C44">
        <w:rPr>
          <w:rFonts w:ascii="Arial" w:hAnsi="Arial" w:cs="Arial"/>
          <w:sz w:val="20"/>
          <w:szCs w:val="20"/>
        </w:rPr>
        <w:t xml:space="preserve"> преобладает </w:t>
      </w:r>
      <w:r w:rsidRPr="00AA7147">
        <w:rPr>
          <w:rFonts w:ascii="Arial" w:hAnsi="Arial" w:cs="Arial"/>
          <w:b/>
          <w:sz w:val="20"/>
          <w:szCs w:val="20"/>
        </w:rPr>
        <w:t>неопределенность экономической ситуации</w:t>
      </w:r>
      <w:r w:rsidRPr="00DE5C44">
        <w:rPr>
          <w:rFonts w:ascii="Arial" w:hAnsi="Arial" w:cs="Arial"/>
          <w:sz w:val="20"/>
          <w:szCs w:val="20"/>
        </w:rPr>
        <w:t xml:space="preserve">, </w:t>
      </w:r>
      <w:r w:rsidRPr="00AA7147">
        <w:rPr>
          <w:rFonts w:ascii="Arial" w:hAnsi="Arial" w:cs="Arial"/>
          <w:b/>
          <w:sz w:val="20"/>
          <w:szCs w:val="20"/>
        </w:rPr>
        <w:t>недостаточный спрос</w:t>
      </w:r>
      <w:r w:rsidRPr="00DE5C44">
        <w:rPr>
          <w:rFonts w:ascii="Arial" w:hAnsi="Arial" w:cs="Arial"/>
          <w:sz w:val="20"/>
          <w:szCs w:val="20"/>
        </w:rPr>
        <w:t xml:space="preserve"> на продукцию предприятий на внутреннем рынке и </w:t>
      </w:r>
      <w:r w:rsidRPr="00AA7147">
        <w:rPr>
          <w:rFonts w:ascii="Arial" w:hAnsi="Arial" w:cs="Arial"/>
          <w:b/>
          <w:sz w:val="20"/>
          <w:szCs w:val="20"/>
        </w:rPr>
        <w:t>высокий уровень налогообложения</w:t>
      </w:r>
      <w:r w:rsidRPr="00DE5C44">
        <w:rPr>
          <w:rFonts w:ascii="Arial" w:hAnsi="Arial" w:cs="Arial"/>
          <w:sz w:val="20"/>
          <w:szCs w:val="20"/>
        </w:rPr>
        <w:t>.</w:t>
      </w:r>
    </w:p>
    <w:p w:rsidR="007C607A" w:rsidRDefault="00AC6DA9" w:rsidP="002613E7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AC6DA9">
        <w:rPr>
          <w:rFonts w:ascii="Arial" w:hAnsi="Arial" w:cs="Arial"/>
          <w:sz w:val="20"/>
          <w:szCs w:val="20"/>
        </w:rPr>
        <w:t>В I квартале 2016 г., по оперативным данным</w:t>
      </w:r>
      <w:r>
        <w:rPr>
          <w:rFonts w:ascii="Arial" w:hAnsi="Arial" w:cs="Arial"/>
          <w:sz w:val="20"/>
          <w:szCs w:val="20"/>
        </w:rPr>
        <w:t xml:space="preserve"> Росстата</w:t>
      </w:r>
      <w:r w:rsidRPr="00AC6DA9">
        <w:rPr>
          <w:rFonts w:ascii="Arial" w:hAnsi="Arial" w:cs="Arial"/>
          <w:sz w:val="20"/>
          <w:szCs w:val="20"/>
        </w:rPr>
        <w:t xml:space="preserve">, </w:t>
      </w:r>
      <w:r w:rsidR="002613E7" w:rsidRPr="00AC6DA9">
        <w:rPr>
          <w:rFonts w:ascii="Arial" w:hAnsi="Arial" w:cs="Arial"/>
          <w:sz w:val="20"/>
          <w:szCs w:val="20"/>
        </w:rPr>
        <w:t>32,6 тыс. организаций получили прибыль в размере +3274,1 млрд. рублей, 17,4 тыс. организаций имели убыток на сумму 758,5 млрд. рублей.</w:t>
      </w:r>
      <w:r w:rsidR="002613E7">
        <w:rPr>
          <w:rFonts w:ascii="Arial" w:hAnsi="Arial" w:cs="Arial"/>
          <w:sz w:val="20"/>
          <w:szCs w:val="20"/>
        </w:rPr>
        <w:t xml:space="preserve"> С</w:t>
      </w:r>
      <w:r w:rsidRPr="00AC6DA9">
        <w:rPr>
          <w:rFonts w:ascii="Arial" w:hAnsi="Arial" w:cs="Arial"/>
          <w:sz w:val="20"/>
          <w:szCs w:val="20"/>
        </w:rPr>
        <w:t xml:space="preserve">альдированный финансовый результат (прибыль минус убыток) организаций (без субъектов малого предпринимательства, банков, страховых организаций и бюджетных учреждений) в действующих ценах составил +2515,6 млрд. рублей. </w:t>
      </w:r>
    </w:p>
    <w:p w:rsidR="00E66224" w:rsidRDefault="00E66224" w:rsidP="00E66224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BD32DF" w:rsidRDefault="008D63DD" w:rsidP="005E4702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8D63DD">
        <w:rPr>
          <w:rFonts w:ascii="Arial" w:hAnsi="Arial" w:cs="Arial"/>
          <w:sz w:val="20"/>
          <w:szCs w:val="20"/>
        </w:rPr>
        <w:t xml:space="preserve">По </w:t>
      </w:r>
      <w:r w:rsidR="00E66224">
        <w:rPr>
          <w:rFonts w:ascii="Arial" w:hAnsi="Arial" w:cs="Arial"/>
          <w:sz w:val="20"/>
          <w:szCs w:val="20"/>
        </w:rPr>
        <w:t>данным</w:t>
      </w:r>
      <w:r w:rsidRPr="008D63DD">
        <w:rPr>
          <w:rFonts w:ascii="Arial" w:hAnsi="Arial" w:cs="Arial"/>
          <w:sz w:val="20"/>
          <w:szCs w:val="20"/>
        </w:rPr>
        <w:t xml:space="preserve"> Минэкономразвития России, </w:t>
      </w:r>
      <w:r w:rsidR="00E66224" w:rsidRPr="00E66224">
        <w:rPr>
          <w:rFonts w:ascii="Arial" w:hAnsi="Arial" w:cs="Arial"/>
          <w:b/>
          <w:sz w:val="20"/>
          <w:szCs w:val="20"/>
        </w:rPr>
        <w:t>средняя заработная плата</w:t>
      </w:r>
      <w:r w:rsidR="00E66224">
        <w:rPr>
          <w:rFonts w:ascii="Arial" w:hAnsi="Arial" w:cs="Arial"/>
          <w:sz w:val="20"/>
          <w:szCs w:val="20"/>
        </w:rPr>
        <w:t xml:space="preserve"> в стране в мае </w:t>
      </w:r>
      <w:r w:rsidR="00E66224" w:rsidRPr="00E66224">
        <w:rPr>
          <w:rFonts w:ascii="Arial" w:hAnsi="Arial" w:cs="Arial"/>
          <w:sz w:val="20"/>
          <w:szCs w:val="20"/>
        </w:rPr>
        <w:t>по сравнению с апрелем не изменилась и составила 36,570 тыс. руб., на 6,2% сократившись по сравнению с прошлым годом.</w:t>
      </w:r>
      <w:r w:rsidR="00E66224">
        <w:rPr>
          <w:rFonts w:ascii="Arial" w:hAnsi="Arial" w:cs="Arial"/>
          <w:sz w:val="20"/>
          <w:szCs w:val="20"/>
        </w:rPr>
        <w:t xml:space="preserve"> </w:t>
      </w:r>
      <w:r w:rsidR="00E66224" w:rsidRPr="005E4702">
        <w:rPr>
          <w:rFonts w:ascii="Arial" w:hAnsi="Arial" w:cs="Arial"/>
          <w:b/>
          <w:sz w:val="20"/>
          <w:szCs w:val="20"/>
        </w:rPr>
        <w:t xml:space="preserve">Безработица </w:t>
      </w:r>
      <w:r w:rsidR="00E66224" w:rsidRPr="00E66224">
        <w:rPr>
          <w:rFonts w:ascii="Arial" w:hAnsi="Arial" w:cs="Arial"/>
          <w:sz w:val="20"/>
          <w:szCs w:val="20"/>
        </w:rPr>
        <w:t>в России</w:t>
      </w:r>
      <w:r w:rsidR="00BD32DF">
        <w:rPr>
          <w:rFonts w:ascii="Arial" w:hAnsi="Arial" w:cs="Arial"/>
          <w:sz w:val="20"/>
          <w:szCs w:val="20"/>
        </w:rPr>
        <w:t xml:space="preserve"> осталась в мае на уровне 5,7%.</w:t>
      </w:r>
      <w:r w:rsidR="00BD32DF">
        <w:rPr>
          <w:rFonts w:ascii="Arial" w:hAnsi="Arial" w:cs="Arial"/>
          <w:b/>
          <w:sz w:val="20"/>
          <w:szCs w:val="20"/>
        </w:rPr>
        <w:t xml:space="preserve"> </w:t>
      </w:r>
      <w:r w:rsidR="00BD32DF">
        <w:rPr>
          <w:rFonts w:ascii="Arial" w:hAnsi="Arial" w:cs="Arial"/>
          <w:bCs/>
          <w:sz w:val="20"/>
          <w:szCs w:val="20"/>
        </w:rPr>
        <w:t>Снижение</w:t>
      </w:r>
      <w:r w:rsidR="00BD32DF" w:rsidRPr="00356ED5">
        <w:rPr>
          <w:rFonts w:ascii="Arial" w:hAnsi="Arial" w:cs="Arial"/>
          <w:bCs/>
          <w:sz w:val="20"/>
          <w:szCs w:val="20"/>
        </w:rPr>
        <w:t xml:space="preserve"> реальных располагаемых </w:t>
      </w:r>
      <w:r w:rsidR="00BD32DF" w:rsidRPr="005E4702">
        <w:rPr>
          <w:rFonts w:ascii="Arial" w:hAnsi="Arial" w:cs="Arial"/>
          <w:b/>
          <w:bCs/>
          <w:sz w:val="20"/>
          <w:szCs w:val="20"/>
        </w:rPr>
        <w:t>денежных доходов населения</w:t>
      </w:r>
      <w:r w:rsidR="00BD32DF" w:rsidRPr="00356ED5">
        <w:rPr>
          <w:rFonts w:ascii="Arial" w:hAnsi="Arial" w:cs="Arial"/>
          <w:bCs/>
          <w:sz w:val="20"/>
          <w:szCs w:val="20"/>
        </w:rPr>
        <w:t xml:space="preserve"> </w:t>
      </w:r>
      <w:r w:rsidR="00BD32DF">
        <w:rPr>
          <w:rFonts w:ascii="Arial" w:hAnsi="Arial" w:cs="Arial"/>
          <w:bCs/>
          <w:sz w:val="20"/>
          <w:szCs w:val="20"/>
        </w:rPr>
        <w:t xml:space="preserve">за </w:t>
      </w:r>
      <w:r w:rsidR="005E4702">
        <w:rPr>
          <w:rFonts w:ascii="Arial" w:hAnsi="Arial" w:cs="Arial"/>
          <w:bCs/>
          <w:sz w:val="20"/>
          <w:szCs w:val="20"/>
        </w:rPr>
        <w:t>1 кв. 2016</w:t>
      </w:r>
      <w:r w:rsidR="00BD32DF">
        <w:rPr>
          <w:rFonts w:ascii="Arial" w:hAnsi="Arial" w:cs="Arial"/>
          <w:bCs/>
          <w:sz w:val="20"/>
          <w:szCs w:val="20"/>
        </w:rPr>
        <w:t xml:space="preserve"> год</w:t>
      </w:r>
      <w:r w:rsidR="005E4702">
        <w:rPr>
          <w:rFonts w:ascii="Arial" w:hAnsi="Arial" w:cs="Arial"/>
          <w:bCs/>
          <w:sz w:val="20"/>
          <w:szCs w:val="20"/>
        </w:rPr>
        <w:t>а</w:t>
      </w:r>
      <w:r w:rsidR="00BD32DF">
        <w:rPr>
          <w:rFonts w:ascii="Arial" w:hAnsi="Arial" w:cs="Arial"/>
          <w:bCs/>
          <w:sz w:val="20"/>
          <w:szCs w:val="20"/>
        </w:rPr>
        <w:t xml:space="preserve"> </w:t>
      </w:r>
      <w:r w:rsidR="005E4702">
        <w:rPr>
          <w:rFonts w:ascii="Arial" w:hAnsi="Arial" w:cs="Arial"/>
          <w:bCs/>
          <w:sz w:val="20"/>
          <w:szCs w:val="20"/>
        </w:rPr>
        <w:t>составило 3,7</w:t>
      </w:r>
      <w:r w:rsidR="00BD32DF" w:rsidRPr="00356ED5">
        <w:rPr>
          <w:rFonts w:ascii="Arial" w:hAnsi="Arial" w:cs="Arial"/>
          <w:bCs/>
          <w:sz w:val="20"/>
          <w:szCs w:val="20"/>
        </w:rPr>
        <w:t>%</w:t>
      </w:r>
      <w:r w:rsidR="005E4702">
        <w:rPr>
          <w:rFonts w:ascii="Arial" w:hAnsi="Arial" w:cs="Arial"/>
          <w:bCs/>
          <w:sz w:val="20"/>
          <w:szCs w:val="20"/>
        </w:rPr>
        <w:t xml:space="preserve"> по сравнению с аналогичным периодом прошлого года</w:t>
      </w:r>
      <w:r w:rsidR="00BD32DF" w:rsidRPr="00356ED5">
        <w:rPr>
          <w:rFonts w:ascii="Arial" w:hAnsi="Arial" w:cs="Arial"/>
          <w:bCs/>
          <w:sz w:val="20"/>
          <w:szCs w:val="20"/>
        </w:rPr>
        <w:t>.</w:t>
      </w:r>
      <w:r w:rsidR="00BD32DF">
        <w:rPr>
          <w:rFonts w:ascii="Arial" w:hAnsi="Arial" w:cs="Arial"/>
          <w:bCs/>
          <w:sz w:val="20"/>
          <w:szCs w:val="20"/>
        </w:rPr>
        <w:t xml:space="preserve"> </w:t>
      </w:r>
      <w:r w:rsidR="00BD32DF" w:rsidRPr="004B1153">
        <w:rPr>
          <w:rFonts w:ascii="Arial" w:hAnsi="Arial" w:cs="Arial"/>
          <w:sz w:val="20"/>
          <w:szCs w:val="20"/>
        </w:rPr>
        <w:t xml:space="preserve">Сокращение реальных располагаемых доходов населения в </w:t>
      </w:r>
      <w:r w:rsidR="005E4702">
        <w:rPr>
          <w:rFonts w:ascii="Arial" w:hAnsi="Arial" w:cs="Arial"/>
          <w:sz w:val="20"/>
          <w:szCs w:val="20"/>
        </w:rPr>
        <w:t>большей</w:t>
      </w:r>
      <w:r w:rsidR="00BD32DF" w:rsidRPr="004B1153">
        <w:rPr>
          <w:rFonts w:ascii="Arial" w:hAnsi="Arial" w:cs="Arial"/>
          <w:sz w:val="20"/>
          <w:szCs w:val="20"/>
        </w:rPr>
        <w:t xml:space="preserve"> степени обусловлено девальвацией рубля, которая </w:t>
      </w:r>
      <w:r w:rsidR="00BD32DF">
        <w:rPr>
          <w:rFonts w:ascii="Arial" w:hAnsi="Arial" w:cs="Arial"/>
          <w:sz w:val="20"/>
          <w:szCs w:val="20"/>
        </w:rPr>
        <w:t>способствовала</w:t>
      </w:r>
      <w:r w:rsidR="00BD32DF" w:rsidRPr="004B1153">
        <w:rPr>
          <w:rFonts w:ascii="Arial" w:hAnsi="Arial" w:cs="Arial"/>
          <w:sz w:val="20"/>
          <w:szCs w:val="20"/>
        </w:rPr>
        <w:t xml:space="preserve"> повышени</w:t>
      </w:r>
      <w:r w:rsidR="00BD32DF">
        <w:rPr>
          <w:rFonts w:ascii="Arial" w:hAnsi="Arial" w:cs="Arial"/>
          <w:sz w:val="20"/>
          <w:szCs w:val="20"/>
        </w:rPr>
        <w:t>ю</w:t>
      </w:r>
      <w:r w:rsidR="00BD32DF" w:rsidRPr="004B1153">
        <w:rPr>
          <w:rFonts w:ascii="Arial" w:hAnsi="Arial" w:cs="Arial"/>
          <w:sz w:val="20"/>
          <w:szCs w:val="20"/>
        </w:rPr>
        <w:t xml:space="preserve"> </w:t>
      </w:r>
      <w:r w:rsidR="00BD32DF">
        <w:rPr>
          <w:rFonts w:ascii="Arial" w:hAnsi="Arial" w:cs="Arial"/>
          <w:sz w:val="20"/>
          <w:szCs w:val="20"/>
        </w:rPr>
        <w:t>потребительских цен</w:t>
      </w:r>
      <w:r w:rsidR="00BD32DF" w:rsidRPr="004B1153">
        <w:rPr>
          <w:rFonts w:ascii="Arial" w:hAnsi="Arial" w:cs="Arial"/>
          <w:sz w:val="20"/>
          <w:szCs w:val="20"/>
        </w:rPr>
        <w:t xml:space="preserve">. </w:t>
      </w:r>
      <w:r w:rsidR="00BD32DF">
        <w:rPr>
          <w:rFonts w:ascii="Arial" w:hAnsi="Arial" w:cs="Arial"/>
          <w:sz w:val="20"/>
          <w:szCs w:val="20"/>
        </w:rPr>
        <w:t>Сокращение объемов производства</w:t>
      </w:r>
      <w:r w:rsidR="00BD32DF" w:rsidRPr="004B1153">
        <w:rPr>
          <w:rFonts w:ascii="Arial" w:hAnsi="Arial" w:cs="Arial"/>
          <w:sz w:val="20"/>
          <w:szCs w:val="20"/>
        </w:rPr>
        <w:t xml:space="preserve"> в реальном секторе </w:t>
      </w:r>
      <w:r w:rsidR="00BD32DF">
        <w:rPr>
          <w:rFonts w:ascii="Arial" w:hAnsi="Arial" w:cs="Arial"/>
          <w:sz w:val="20"/>
          <w:szCs w:val="20"/>
        </w:rPr>
        <w:t xml:space="preserve">вызвало </w:t>
      </w:r>
      <w:r w:rsidR="00BD32DF" w:rsidRPr="004B1153">
        <w:rPr>
          <w:rFonts w:ascii="Arial" w:hAnsi="Arial" w:cs="Arial"/>
          <w:sz w:val="20"/>
          <w:szCs w:val="20"/>
        </w:rPr>
        <w:t>увеличение количества безработных</w:t>
      </w:r>
      <w:r w:rsidR="00BD32DF">
        <w:rPr>
          <w:rFonts w:ascii="Arial" w:hAnsi="Arial" w:cs="Arial"/>
          <w:sz w:val="20"/>
          <w:szCs w:val="20"/>
        </w:rPr>
        <w:t>, снижение платежеспособности и, как следствие, снижение</w:t>
      </w:r>
      <w:r w:rsidR="00BD32DF" w:rsidRPr="004B1153">
        <w:rPr>
          <w:rFonts w:ascii="Arial" w:hAnsi="Arial" w:cs="Arial"/>
          <w:sz w:val="20"/>
          <w:szCs w:val="20"/>
        </w:rPr>
        <w:t xml:space="preserve"> доходов</w:t>
      </w:r>
      <w:r w:rsidR="00BD32DF">
        <w:rPr>
          <w:rFonts w:ascii="Arial" w:hAnsi="Arial" w:cs="Arial"/>
          <w:sz w:val="20"/>
          <w:szCs w:val="20"/>
        </w:rPr>
        <w:t xml:space="preserve"> населения</w:t>
      </w:r>
      <w:r w:rsidR="00BD32DF" w:rsidRPr="004B1153">
        <w:rPr>
          <w:rFonts w:ascii="Arial" w:hAnsi="Arial" w:cs="Arial"/>
          <w:sz w:val="20"/>
          <w:szCs w:val="20"/>
        </w:rPr>
        <w:t>.</w:t>
      </w:r>
      <w:r w:rsidR="00BD32DF">
        <w:rPr>
          <w:rFonts w:ascii="Arial" w:hAnsi="Arial" w:cs="Arial"/>
          <w:sz w:val="20"/>
          <w:szCs w:val="20"/>
        </w:rPr>
        <w:t xml:space="preserve"> Вместе с тем, банковские вклады физических лиц увеличились с 16,9 трлн. руб. на 01.03.2014 года до почти 23,0 трлн. руб. на 01.03.2016 года, что объясняется общей неуверенностью населения в части расходования своих накоплений.</w:t>
      </w:r>
    </w:p>
    <w:p w:rsidR="00BD32DF" w:rsidRPr="00E66224" w:rsidRDefault="00BD32DF" w:rsidP="00E66224">
      <w:pPr>
        <w:pStyle w:val="marker-quote3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C6DA9" w:rsidRPr="00C83491" w:rsidRDefault="00AA7147" w:rsidP="00A32754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 данным на 27 июня 2016 года, </w:t>
      </w:r>
      <w:r w:rsidRPr="000B121B">
        <w:rPr>
          <w:rFonts w:ascii="Arial" w:hAnsi="Arial" w:cs="Arial"/>
          <w:b/>
          <w:sz w:val="20"/>
          <w:szCs w:val="20"/>
        </w:rPr>
        <w:t>и</w:t>
      </w:r>
      <w:r w:rsidR="001203A5" w:rsidRPr="000B121B">
        <w:rPr>
          <w:rFonts w:ascii="Arial" w:hAnsi="Arial" w:cs="Arial"/>
          <w:b/>
          <w:sz w:val="20"/>
          <w:szCs w:val="20"/>
        </w:rPr>
        <w:t>нфляция </w:t>
      </w:r>
      <w:r w:rsidR="00FB48A6" w:rsidRPr="000B121B">
        <w:rPr>
          <w:rFonts w:ascii="Arial" w:hAnsi="Arial" w:cs="Arial"/>
          <w:b/>
          <w:sz w:val="20"/>
          <w:szCs w:val="20"/>
        </w:rPr>
        <w:t>с начала года</w:t>
      </w:r>
      <w:r w:rsidR="00FB48A6" w:rsidRPr="00FB48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составила 103,3 </w:t>
      </w:r>
      <w:r w:rsidR="00FB48A6" w:rsidRPr="00FB48A6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Для сравнения за аналогичный период </w:t>
      </w:r>
      <w:r w:rsidR="00FB48A6" w:rsidRPr="00FB48A6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FB48A6" w:rsidRPr="00FB48A6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ода</w:t>
      </w:r>
      <w:r w:rsidR="00FB48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- 108,5</w:t>
      </w:r>
      <w:r w:rsidR="00FB48A6" w:rsidRPr="00FB48A6">
        <w:rPr>
          <w:rFonts w:ascii="Arial" w:hAnsi="Arial" w:cs="Arial"/>
          <w:sz w:val="20"/>
          <w:szCs w:val="20"/>
        </w:rPr>
        <w:t>%).</w:t>
      </w:r>
      <w:proofErr w:type="gramEnd"/>
      <w:r w:rsidR="003102D5">
        <w:rPr>
          <w:rFonts w:ascii="Arial" w:hAnsi="Arial" w:cs="Arial"/>
          <w:sz w:val="20"/>
          <w:szCs w:val="20"/>
        </w:rPr>
        <w:t xml:space="preserve"> Государство планирует инфляцию на 2017 год в размере 4 %.</w:t>
      </w:r>
    </w:p>
    <w:p w:rsidR="00C83491" w:rsidRDefault="00C83491" w:rsidP="00C83491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67C125" wp14:editId="6F698713">
            <wp:extent cx="4511615" cy="278216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099" t="21041" r="20348" b="20204"/>
                    <a:stretch/>
                  </pic:blipFill>
                  <pic:spPr bwMode="auto">
                    <a:xfrm>
                      <a:off x="0" y="0"/>
                      <a:ext cx="4526097" cy="279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491" w:rsidRPr="004B1153" w:rsidRDefault="00C83491" w:rsidP="00C00C6E">
      <w:pPr>
        <w:spacing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Значительный рост потребительских цен на товары повседневного спроса, особенно продовольственные товары, привел к снижению спроса на остальную продукцию и услуги</w:t>
      </w:r>
      <w:r w:rsidR="00871B07">
        <w:rPr>
          <w:rFonts w:ascii="Arial" w:eastAsia="Times New Roman" w:hAnsi="Arial" w:cs="Arial"/>
          <w:sz w:val="20"/>
          <w:szCs w:val="20"/>
          <w:lang w:eastAsia="ru-RU"/>
        </w:rPr>
        <w:t xml:space="preserve"> (недвижимость, автомобили, станки, мебель и др.). </w:t>
      </w:r>
    </w:p>
    <w:p w:rsidR="00CF7155" w:rsidRDefault="00C83491" w:rsidP="000B121B">
      <w:pPr>
        <w:spacing w:after="100" w:afterAutospacing="1" w:line="240" w:lineRule="auto"/>
        <w:ind w:firstLine="284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115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A8089F7" wp14:editId="4039B321">
            <wp:extent cx="3729843" cy="221698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73" t="10322" r="30149" b="26556"/>
                    <a:stretch/>
                  </pic:blipFill>
                  <pic:spPr bwMode="auto">
                    <a:xfrm>
                      <a:off x="0" y="0"/>
                      <a:ext cx="3732184" cy="221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7A5" w:rsidRDefault="00BD32DF" w:rsidP="008A6792">
      <w:pPr>
        <w:pStyle w:val="marker-quote3"/>
        <w:spacing w:before="0" w:beforeAutospacing="0" w:after="0" w:afterAutospacing="0"/>
        <w:ind w:firstLine="284"/>
        <w:contextualSpacing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Промышленное производство</w:t>
      </w:r>
    </w:p>
    <w:p w:rsidR="00AF5797" w:rsidRPr="00FB375E" w:rsidRDefault="000B121B" w:rsidP="00FB375E">
      <w:pPr>
        <w:pStyle w:val="marker-quote3"/>
        <w:spacing w:before="0" w:beforeAutospacing="0" w:after="240" w:afterAutospacing="0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В 1 квартале 2016 года </w:t>
      </w:r>
      <w:r w:rsidR="00ED0935">
        <w:rPr>
          <w:rFonts w:ascii="Arial" w:hAnsi="Arial" w:cs="Arial"/>
          <w:bCs/>
          <w:sz w:val="20"/>
          <w:szCs w:val="20"/>
        </w:rPr>
        <w:t xml:space="preserve">ВВП </w:t>
      </w:r>
      <w:r w:rsidR="00DB4FB5">
        <w:rPr>
          <w:rFonts w:ascii="Arial" w:hAnsi="Arial" w:cs="Arial"/>
          <w:bCs/>
          <w:sz w:val="20"/>
          <w:szCs w:val="20"/>
        </w:rPr>
        <w:t xml:space="preserve">в добывающих отраслях </w:t>
      </w:r>
      <w:r>
        <w:rPr>
          <w:rFonts w:ascii="Arial" w:hAnsi="Arial" w:cs="Arial"/>
          <w:bCs/>
          <w:sz w:val="20"/>
          <w:szCs w:val="20"/>
        </w:rPr>
        <w:t>выросло на 2</w:t>
      </w:r>
      <w:r w:rsidR="00ED0935">
        <w:rPr>
          <w:rFonts w:ascii="Arial" w:hAnsi="Arial" w:cs="Arial"/>
          <w:bCs/>
          <w:sz w:val="20"/>
          <w:szCs w:val="20"/>
        </w:rPr>
        <w:t>,1 %</w:t>
      </w:r>
      <w:r>
        <w:rPr>
          <w:rFonts w:ascii="Arial" w:hAnsi="Arial" w:cs="Arial"/>
          <w:bCs/>
          <w:sz w:val="20"/>
          <w:szCs w:val="20"/>
        </w:rPr>
        <w:t xml:space="preserve">, в обрабатывающих – упало на 4 %. </w:t>
      </w:r>
      <w:r w:rsidR="00312D0A">
        <w:rPr>
          <w:rFonts w:ascii="Arial" w:hAnsi="Arial" w:cs="Arial"/>
          <w:bCs/>
          <w:sz w:val="20"/>
          <w:szCs w:val="20"/>
        </w:rPr>
        <w:t>С 20.01.2016 года цены на нефть име</w:t>
      </w:r>
      <w:r w:rsidR="002C2690">
        <w:rPr>
          <w:rFonts w:ascii="Arial" w:hAnsi="Arial" w:cs="Arial"/>
          <w:bCs/>
          <w:sz w:val="20"/>
          <w:szCs w:val="20"/>
        </w:rPr>
        <w:t>ли</w:t>
      </w:r>
      <w:r w:rsidR="00312D0A">
        <w:rPr>
          <w:rFonts w:ascii="Arial" w:hAnsi="Arial" w:cs="Arial"/>
          <w:bCs/>
          <w:sz w:val="20"/>
          <w:szCs w:val="20"/>
        </w:rPr>
        <w:t xml:space="preserve"> общую тенденцию роста: с </w:t>
      </w:r>
      <w:r w:rsidR="00312D0A" w:rsidRPr="00312D0A">
        <w:rPr>
          <w:rFonts w:ascii="Arial" w:hAnsi="Arial" w:cs="Arial"/>
          <w:bCs/>
          <w:sz w:val="20"/>
          <w:szCs w:val="20"/>
        </w:rPr>
        <w:t xml:space="preserve">28.21 </w:t>
      </w:r>
      <w:r w:rsidR="00E527B8">
        <w:rPr>
          <w:rFonts w:ascii="Arial" w:hAnsi="Arial" w:cs="Arial"/>
          <w:bCs/>
          <w:sz w:val="20"/>
          <w:szCs w:val="20"/>
        </w:rPr>
        <w:t xml:space="preserve">долл./баррель </w:t>
      </w:r>
      <w:r w:rsidR="00DF785A">
        <w:rPr>
          <w:rFonts w:ascii="Arial" w:hAnsi="Arial" w:cs="Arial"/>
          <w:bCs/>
          <w:sz w:val="20"/>
          <w:szCs w:val="20"/>
        </w:rPr>
        <w:t xml:space="preserve">нефти </w:t>
      </w:r>
      <w:proofErr w:type="spellStart"/>
      <w:r w:rsidR="00DF785A">
        <w:rPr>
          <w:rFonts w:ascii="Arial" w:hAnsi="Arial" w:cs="Arial"/>
          <w:bCs/>
          <w:sz w:val="20"/>
          <w:szCs w:val="20"/>
          <w:lang w:val="en-US"/>
        </w:rPr>
        <w:t>Brend</w:t>
      </w:r>
      <w:proofErr w:type="spellEnd"/>
      <w:r w:rsidR="00DF785A">
        <w:rPr>
          <w:rFonts w:ascii="Arial" w:hAnsi="Arial" w:cs="Arial"/>
          <w:bCs/>
          <w:sz w:val="20"/>
          <w:szCs w:val="20"/>
        </w:rPr>
        <w:t xml:space="preserve"> </w:t>
      </w:r>
      <w:r w:rsidR="006425CF">
        <w:rPr>
          <w:rFonts w:ascii="Arial" w:hAnsi="Arial" w:cs="Arial"/>
          <w:bCs/>
          <w:sz w:val="20"/>
          <w:szCs w:val="20"/>
        </w:rPr>
        <w:t>до 49</w:t>
      </w:r>
      <w:r w:rsidR="00312D0A">
        <w:rPr>
          <w:rFonts w:ascii="Arial" w:hAnsi="Arial" w:cs="Arial"/>
          <w:bCs/>
          <w:sz w:val="20"/>
          <w:szCs w:val="20"/>
        </w:rPr>
        <w:t>.</w:t>
      </w:r>
      <w:r w:rsidR="006425CF">
        <w:rPr>
          <w:rFonts w:ascii="Arial" w:hAnsi="Arial" w:cs="Arial"/>
          <w:bCs/>
          <w:sz w:val="20"/>
          <w:szCs w:val="20"/>
        </w:rPr>
        <w:t>92</w:t>
      </w:r>
      <w:r w:rsidR="00100E97">
        <w:rPr>
          <w:rFonts w:ascii="Arial" w:hAnsi="Arial" w:cs="Arial"/>
          <w:bCs/>
          <w:sz w:val="20"/>
          <w:szCs w:val="20"/>
        </w:rPr>
        <w:t xml:space="preserve"> долл./баррель </w:t>
      </w:r>
      <w:r w:rsidR="006425CF">
        <w:rPr>
          <w:rFonts w:ascii="Arial" w:hAnsi="Arial" w:cs="Arial"/>
          <w:bCs/>
          <w:sz w:val="20"/>
          <w:szCs w:val="20"/>
        </w:rPr>
        <w:t xml:space="preserve">на 01.07.2016 года, повысившись за пять месяцев на </w:t>
      </w:r>
      <w:r w:rsidR="00CB5EED">
        <w:rPr>
          <w:rFonts w:ascii="Arial" w:hAnsi="Arial" w:cs="Arial"/>
          <w:bCs/>
          <w:sz w:val="20"/>
          <w:szCs w:val="20"/>
        </w:rPr>
        <w:t xml:space="preserve">рекордные </w:t>
      </w:r>
      <w:r w:rsidR="006425CF">
        <w:rPr>
          <w:rFonts w:ascii="Arial" w:hAnsi="Arial" w:cs="Arial"/>
          <w:bCs/>
          <w:sz w:val="20"/>
          <w:szCs w:val="20"/>
        </w:rPr>
        <w:t>77%.</w:t>
      </w:r>
      <w:r w:rsidR="00FB375E">
        <w:rPr>
          <w:rFonts w:ascii="Arial" w:hAnsi="Arial" w:cs="Arial"/>
          <w:bCs/>
          <w:sz w:val="20"/>
          <w:szCs w:val="20"/>
        </w:rPr>
        <w:t xml:space="preserve"> В </w:t>
      </w:r>
      <w:r w:rsidR="00FB375E">
        <w:rPr>
          <w:rFonts w:ascii="Arial" w:hAnsi="Arial" w:cs="Arial"/>
          <w:bCs/>
          <w:sz w:val="20"/>
          <w:szCs w:val="20"/>
        </w:rPr>
        <w:lastRenderedPageBreak/>
        <w:t>мае р</w:t>
      </w:r>
      <w:r w:rsidR="00FB375E" w:rsidRPr="00FB375E">
        <w:rPr>
          <w:rFonts w:ascii="Arial" w:hAnsi="Arial" w:cs="Arial"/>
          <w:bCs/>
          <w:sz w:val="20"/>
          <w:szCs w:val="20"/>
        </w:rPr>
        <w:t>ост наблюдался лишь в отраслях, которые в валовой добавленной стоимости (ВДС</w:t>
      </w:r>
      <w:proofErr w:type="gramEnd"/>
      <w:r w:rsidR="00FB375E" w:rsidRPr="00FB375E">
        <w:rPr>
          <w:rFonts w:ascii="Arial" w:hAnsi="Arial" w:cs="Arial"/>
          <w:bCs/>
          <w:sz w:val="20"/>
          <w:szCs w:val="20"/>
        </w:rPr>
        <w:t>) обрабатывающей промышленности составляют около 10% (деревообрабатывающая, целлюлозно-бумажная, кожевенно-обув</w:t>
      </w:r>
      <w:r w:rsidR="00FB375E">
        <w:rPr>
          <w:rFonts w:ascii="Arial" w:hAnsi="Arial" w:cs="Arial"/>
          <w:bCs/>
          <w:sz w:val="20"/>
          <w:szCs w:val="20"/>
        </w:rPr>
        <w:t>ная, тек</w:t>
      </w:r>
      <w:r w:rsidR="00FB375E" w:rsidRPr="00FB375E">
        <w:rPr>
          <w:rFonts w:ascii="Arial" w:hAnsi="Arial" w:cs="Arial"/>
          <w:bCs/>
          <w:sz w:val="20"/>
          <w:szCs w:val="20"/>
        </w:rPr>
        <w:t>стильная и швейная промышленность, а также прочие производства). Снижение неопределенности экономической ситуации стимулир</w:t>
      </w:r>
      <w:r w:rsidR="00FB375E">
        <w:rPr>
          <w:rFonts w:ascii="Arial" w:hAnsi="Arial" w:cs="Arial"/>
          <w:bCs/>
          <w:sz w:val="20"/>
          <w:szCs w:val="20"/>
        </w:rPr>
        <w:t>ует</w:t>
      </w:r>
      <w:r w:rsidR="00FB375E" w:rsidRPr="00FB375E">
        <w:rPr>
          <w:rFonts w:ascii="Arial" w:hAnsi="Arial" w:cs="Arial"/>
          <w:bCs/>
          <w:sz w:val="20"/>
          <w:szCs w:val="20"/>
        </w:rPr>
        <w:t xml:space="preserve"> экономическую активность в обработке в</w:t>
      </w:r>
      <w:r w:rsidR="00FB375E">
        <w:rPr>
          <w:rFonts w:ascii="Arial" w:hAnsi="Arial" w:cs="Arial"/>
          <w:bCs/>
          <w:sz w:val="20"/>
          <w:szCs w:val="20"/>
        </w:rPr>
        <w:t xml:space="preserve"> следующие месяцы.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460"/>
        <w:gridCol w:w="962"/>
        <w:gridCol w:w="1326"/>
        <w:gridCol w:w="1390"/>
      </w:tblGrid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Январь-апрель 2016г.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Апрель 2016г. </w:t>
            </w:r>
            <w:proofErr w:type="gramStart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% к апрелю 2015г.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Январь-апрель 2016г</w:t>
            </w:r>
            <w:proofErr w:type="gramStart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% к  январю-апрелю 2015г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Уголь, 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Нефть добытая, включая газовый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конденсат, млн.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Газ горючий природный (газ естественный), млрд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Руда железная товарная необогащенная, 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Материалы строительные нерудные,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Мясо и субпродукты пищевые убо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йных животных,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тыс.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Мясо и субпродукты пищевые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домашней птицы, млн.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Рыба и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продукты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рыбные переработанные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консерв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Масло подсолнечное нерафинир.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 его фракции,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Молоко жидкое обработанное,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Сыры и продукты сырные, тыс.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Мука пшеничная и пшенично-ржаная,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Ткани, млрд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121,2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Спецодежда, 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119,1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Обувь, 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Лесоматериалы, продольно распиленные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или расколотые, разделенные на слои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или лущеные, толщиной более 6 мм;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шпалы железнодорожные или трамвайные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деревянные,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непропитанные,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Фанера клееная, состоящая только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 листов древесины,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Блоки дверные в сборе (комплектно),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Целлюлоза древесная и целлюлоза из прочих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390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волокнистых материалов,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Бумага,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102,8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Кокс металлургический из каменного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угля, полученный путем карбонизации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при высокой температуре,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Бензин автомобильный,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Топливо дизельное,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Пропан и бутан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сжиженные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106,7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Удобрения минеральные или химические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(в пересчете на 100% питательных веществ),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Пластмассы в первичных формах,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Материалы лакокрасочные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основе полимеров,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Химические волокна и нити,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Шины, покрышки и камеры резиновые новые,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Трубы, трубки, шланги, рукава 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фитинги полимерные,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Плиты, листы, пленка и полосы (ленты)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полимерные, неармированные или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комбинированные с другими</w:t>
            </w:r>
          </w:p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материалами,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109,3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Материалы для покрытий пола,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стен и потолка полимерные,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рулонах или в форме плиток,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104,7</w:t>
            </w:r>
          </w:p>
        </w:tc>
      </w:tr>
      <w:tr w:rsidR="00D65FA2" w:rsidRPr="00AF5797" w:rsidTr="00C42B74">
        <w:trPr>
          <w:trHeight w:val="818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Стекло листовое термически полированное 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стекло листовое с матовой или полированной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поверхностью, но не обработанное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другим способом,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Кирпич керамический не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огнеупорный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строительный, млрд.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усл.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кирпичей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Блоки керамические строительные для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обычной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кладки-пустотелые или цельные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готовые изделия, млн.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усл.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кирпичей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Портландцемент, цемент глиноземистый,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цемент шлаковый и аналогичные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цементы гидравлические,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Конструкции и детали сборные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железобетонные,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Трубы стальные,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Конструкции строительные сборные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 стали,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Двигатели внутреннего сгорания поршневые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 воспламенением от сжатия прочие, 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80,2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Турбины газовые, кроме двигателей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турбореактивных и турбовинтовых,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2,0р.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2,1р.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Тракторы для сельского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лесного хозяйства прочие,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108,3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RANGE!A84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Станки  металлорежущие, штук</w:t>
            </w:r>
            <w:bookmarkEnd w:id="0"/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Холодильники и морозильники бытовые,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Электродвигатели мощностью не более 37,5 Вт;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прочие электродвигатели и генераторы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постоянного тока,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Трансформаторы электрические, млн.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кВ∙А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Изделия медицинские, включая хирургическое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оборудование, ортопедические приспособления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их составные части, млрд.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Автомобили легковые,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Автобусы,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Автомобили грузовые (включая шасси)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(кроме автосамосвалов),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Прицепы общего назначения к грузовым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автомобилям,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120,3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Электровозы магистральные, 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73,8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Тепловозы маневровые и промышленные, 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152,9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Электроэнергия, млрд.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кВт·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произведенная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электростанциями: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390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атомными</w:t>
            </w:r>
          </w:p>
        </w:tc>
        <w:tc>
          <w:tcPr>
            <w:tcW w:w="962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гидроэлектростанциями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117,9</w:t>
            </w:r>
          </w:p>
        </w:tc>
      </w:tr>
    </w:tbl>
    <w:p w:rsidR="00596141" w:rsidRPr="00596141" w:rsidRDefault="00596141" w:rsidP="00AF5797">
      <w:pPr>
        <w:pStyle w:val="marker-quote3"/>
        <w:tabs>
          <w:tab w:val="left" w:pos="426"/>
        </w:tabs>
        <w:spacing w:before="0" w:beforeAutospacing="0" w:after="0" w:afterAutospacing="0"/>
        <w:ind w:left="20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596141">
        <w:rPr>
          <w:rFonts w:ascii="Arial" w:hAnsi="Arial" w:cs="Arial"/>
          <w:bCs/>
          <w:color w:val="000000"/>
          <w:sz w:val="20"/>
          <w:szCs w:val="20"/>
        </w:rPr>
        <w:t> </w:t>
      </w:r>
    </w:p>
    <w:p w:rsidR="00D555DA" w:rsidRPr="008A023A" w:rsidRDefault="00E96ADC" w:rsidP="00E96ADC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</w:t>
      </w:r>
      <w:r w:rsidR="004157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финансовой системе</w:t>
      </w:r>
    </w:p>
    <w:p w:rsidR="00415745" w:rsidRPr="003102D5" w:rsidRDefault="003102D5" w:rsidP="003102D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="00415745" w:rsidRPr="0041574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лючевая ставка ЦБ РФ </w:t>
      </w:r>
      <w:r w:rsidR="00D87B56">
        <w:rPr>
          <w:rFonts w:ascii="Arial" w:eastAsia="Times New Roman" w:hAnsi="Arial" w:cs="Arial"/>
          <w:bCs/>
          <w:sz w:val="20"/>
          <w:szCs w:val="20"/>
          <w:lang w:eastAsia="ru-RU"/>
        </w:rPr>
        <w:t>с 14</w:t>
      </w:r>
      <w:r w:rsidRPr="003102D5">
        <w:rPr>
          <w:rFonts w:ascii="Arial" w:eastAsia="Times New Roman" w:hAnsi="Arial" w:cs="Arial"/>
          <w:bCs/>
          <w:sz w:val="20"/>
          <w:szCs w:val="20"/>
          <w:lang w:eastAsia="ru-RU"/>
        </w:rPr>
        <w:t>.0</w:t>
      </w:r>
      <w:r w:rsidR="00D87B56">
        <w:rPr>
          <w:rFonts w:ascii="Arial" w:eastAsia="Times New Roman" w:hAnsi="Arial" w:cs="Arial"/>
          <w:bCs/>
          <w:sz w:val="20"/>
          <w:szCs w:val="20"/>
          <w:lang w:eastAsia="ru-RU"/>
        </w:rPr>
        <w:t>6</w:t>
      </w:r>
      <w:r w:rsidRPr="003102D5">
        <w:rPr>
          <w:rFonts w:ascii="Arial" w:eastAsia="Times New Roman" w:hAnsi="Arial" w:cs="Arial"/>
          <w:bCs/>
          <w:sz w:val="20"/>
          <w:szCs w:val="20"/>
          <w:lang w:eastAsia="ru-RU"/>
        </w:rPr>
        <w:t>.201</w:t>
      </w:r>
      <w:r w:rsidR="00D87B56">
        <w:rPr>
          <w:rFonts w:ascii="Arial" w:eastAsia="Times New Roman" w:hAnsi="Arial" w:cs="Arial"/>
          <w:bCs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года </w:t>
      </w:r>
      <w:r w:rsidR="00D87B5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незначительно снизилась до 10,5 </w:t>
      </w:r>
      <w:r w:rsidR="00415745" w:rsidRPr="00415745">
        <w:rPr>
          <w:rFonts w:ascii="Arial" w:eastAsia="Times New Roman" w:hAnsi="Arial" w:cs="Arial"/>
          <w:bCs/>
          <w:sz w:val="20"/>
          <w:szCs w:val="20"/>
          <w:lang w:eastAsia="ru-RU"/>
        </w:rPr>
        <w:t>% годовых</w:t>
      </w:r>
      <w:r w:rsidR="0041574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1F35BE" w:rsidRDefault="001F35BE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Долгосрочная ставка рынка ГКО-ОФЗ на 01.07.2016 года составила 9,8% годовых.</w:t>
      </w:r>
    </w:p>
    <w:p w:rsidR="003102D5" w:rsidRDefault="003102D5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Курс доллара США – 6</w:t>
      </w:r>
      <w:r w:rsidR="00D87B56">
        <w:rPr>
          <w:rFonts w:ascii="Arial" w:eastAsia="Times New Roman" w:hAnsi="Arial" w:cs="Arial"/>
          <w:sz w:val="20"/>
          <w:szCs w:val="20"/>
          <w:lang w:eastAsia="ru-RU"/>
        </w:rPr>
        <w:t>4,18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41EBB">
        <w:rPr>
          <w:rFonts w:ascii="Arial" w:eastAsia="Times New Roman" w:hAnsi="Arial" w:cs="Arial"/>
          <w:sz w:val="20"/>
          <w:szCs w:val="20"/>
          <w:lang w:eastAsia="ru-RU"/>
        </w:rPr>
        <w:t>руб./долл.</w:t>
      </w:r>
      <w:r w:rsidR="00D87B56">
        <w:rPr>
          <w:rFonts w:ascii="Arial" w:eastAsia="Times New Roman" w:hAnsi="Arial" w:cs="Arial"/>
          <w:sz w:val="20"/>
          <w:szCs w:val="20"/>
          <w:lang w:eastAsia="ru-RU"/>
        </w:rPr>
        <w:t>, евро – 71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87B56">
        <w:rPr>
          <w:rFonts w:ascii="Arial" w:eastAsia="Times New Roman" w:hAnsi="Arial" w:cs="Arial"/>
          <w:sz w:val="20"/>
          <w:szCs w:val="20"/>
          <w:lang w:eastAsia="ru-RU"/>
        </w:rPr>
        <w:t>29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руб./евро</w:t>
      </w:r>
      <w:r w:rsidR="00E823D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823DE" w:rsidRPr="00E823DE" w:rsidRDefault="00E823DE" w:rsidP="00E823DE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3DE">
        <w:rPr>
          <w:rFonts w:ascii="Arial" w:eastAsia="Times New Roman" w:hAnsi="Arial" w:cs="Arial"/>
          <w:sz w:val="20"/>
          <w:szCs w:val="20"/>
          <w:lang w:eastAsia="ru-RU"/>
        </w:rPr>
        <w:t>Международные резервы Российской Федерации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01.01.2016 года по</w:t>
      </w:r>
      <w:r w:rsidR="00D87B56">
        <w:rPr>
          <w:rFonts w:ascii="Arial" w:eastAsia="Times New Roman" w:hAnsi="Arial" w:cs="Arial"/>
          <w:sz w:val="20"/>
          <w:szCs w:val="20"/>
          <w:lang w:eastAsia="ru-RU"/>
        </w:rPr>
        <w:t xml:space="preserve"> 20.05.2016 года возросли </w:t>
      </w:r>
      <w:r w:rsidR="00A0109B">
        <w:rPr>
          <w:rFonts w:ascii="Arial" w:eastAsia="Times New Roman" w:hAnsi="Arial" w:cs="Arial"/>
          <w:sz w:val="20"/>
          <w:szCs w:val="20"/>
          <w:lang w:eastAsia="ru-RU"/>
        </w:rPr>
        <w:t xml:space="preserve">с 368,0 </w:t>
      </w:r>
      <w:r w:rsidR="00D87B56">
        <w:rPr>
          <w:rFonts w:ascii="Arial" w:eastAsia="Times New Roman" w:hAnsi="Arial" w:cs="Arial"/>
          <w:sz w:val="20"/>
          <w:szCs w:val="20"/>
          <w:lang w:eastAsia="ru-RU"/>
        </w:rPr>
        <w:t>до 395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87B56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A0109B">
        <w:rPr>
          <w:rFonts w:ascii="Arial" w:eastAsia="Times New Roman" w:hAnsi="Arial" w:cs="Arial"/>
          <w:sz w:val="20"/>
          <w:szCs w:val="20"/>
          <w:lang w:eastAsia="ru-RU"/>
        </w:rPr>
        <w:t xml:space="preserve"> млрд. долл. США.(+7,3</w:t>
      </w:r>
      <w:r>
        <w:rPr>
          <w:rFonts w:ascii="Arial" w:eastAsia="Times New Roman" w:hAnsi="Arial" w:cs="Arial"/>
          <w:sz w:val="20"/>
          <w:szCs w:val="20"/>
          <w:lang w:eastAsia="ru-RU"/>
        </w:rPr>
        <w:t>%).</w:t>
      </w:r>
    </w:p>
    <w:p w:rsidR="00E823DE" w:rsidRDefault="00D83B88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Банковские активы за период с 01.03.2016 года </w:t>
      </w:r>
      <w:r w:rsidR="00A0109B">
        <w:rPr>
          <w:rFonts w:ascii="Arial" w:eastAsia="Times New Roman" w:hAnsi="Arial" w:cs="Arial"/>
          <w:sz w:val="20"/>
          <w:szCs w:val="20"/>
          <w:lang w:eastAsia="ru-RU"/>
        </w:rPr>
        <w:t>по 01.06</w:t>
      </w:r>
      <w:r w:rsidR="004A50CD">
        <w:rPr>
          <w:rFonts w:ascii="Arial" w:eastAsia="Times New Roman" w:hAnsi="Arial" w:cs="Arial"/>
          <w:sz w:val="20"/>
          <w:szCs w:val="20"/>
          <w:lang w:eastAsia="ru-RU"/>
        </w:rPr>
        <w:t xml:space="preserve">.2016 года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возросли </w:t>
      </w:r>
      <w:r w:rsidR="004A50CD">
        <w:rPr>
          <w:rFonts w:ascii="Arial" w:eastAsia="Times New Roman" w:hAnsi="Arial" w:cs="Arial"/>
          <w:sz w:val="20"/>
          <w:szCs w:val="20"/>
          <w:lang w:eastAsia="ru-RU"/>
        </w:rPr>
        <w:t>с 59,14 трлн. руб. до 83,25 трлн. руб.</w:t>
      </w:r>
    </w:p>
    <w:p w:rsidR="00B41EBB" w:rsidRPr="007F6961" w:rsidRDefault="007F6961" w:rsidP="007F6961">
      <w:pPr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961">
        <w:rPr>
          <w:rFonts w:ascii="Arial" w:eastAsia="Times New Roman" w:hAnsi="Arial" w:cs="Arial"/>
          <w:sz w:val="20"/>
          <w:szCs w:val="20"/>
          <w:lang w:eastAsia="ru-RU"/>
        </w:rPr>
        <w:t>По данным Банка России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</w:t>
      </w:r>
      <w:r w:rsidR="00B41EBB" w:rsidRPr="007F69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бщие объемы кредитования бизнеса (резидентов РФ)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составили</w:t>
      </w:r>
      <w:r w:rsidRPr="007F69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B41EBB" w:rsidRPr="007F6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41EBB" w:rsidRPr="007F6961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млн. руб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.</w:t>
      </w:r>
      <w:r w:rsidRPr="007F6961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: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866"/>
        <w:gridCol w:w="846"/>
        <w:gridCol w:w="720"/>
        <w:gridCol w:w="720"/>
        <w:gridCol w:w="744"/>
        <w:gridCol w:w="744"/>
        <w:gridCol w:w="744"/>
        <w:gridCol w:w="734"/>
        <w:gridCol w:w="850"/>
        <w:gridCol w:w="754"/>
        <w:gridCol w:w="766"/>
        <w:gridCol w:w="850"/>
      </w:tblGrid>
      <w:tr w:rsidR="00B41EBB" w:rsidRPr="00B41EBB" w:rsidTr="00AD6A35">
        <w:trPr>
          <w:trHeight w:val="300"/>
        </w:trPr>
        <w:tc>
          <w:tcPr>
            <w:tcW w:w="395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Обрабатывающие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производства</w:t>
            </w:r>
          </w:p>
        </w:tc>
        <w:tc>
          <w:tcPr>
            <w:tcW w:w="2173" w:type="pct"/>
            <w:gridSpan w:val="6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т.ч.:</w:t>
            </w:r>
            <w:r w:rsidR="00B41EBB"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9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Производство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 распределение электроэнергии, газа и воды</w:t>
            </w:r>
          </w:p>
        </w:tc>
        <w:tc>
          <w:tcPr>
            <w:tcW w:w="372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Сельское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хозяйство, охота и лесное хозяйство</w:t>
            </w:r>
          </w:p>
        </w:tc>
        <w:tc>
          <w:tcPr>
            <w:tcW w:w="378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19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Операции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 недвижимым имуществом, аренда и предоставление услуг</w:t>
            </w:r>
          </w:p>
        </w:tc>
      </w:tr>
      <w:tr w:rsidR="00B41EBB" w:rsidRPr="00B41EBB" w:rsidTr="00AD6A35">
        <w:trPr>
          <w:trHeight w:val="1402"/>
        </w:trPr>
        <w:tc>
          <w:tcPr>
            <w:tcW w:w="395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производство пищевых продуктов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химическое производство</w:t>
            </w:r>
          </w:p>
        </w:tc>
        <w:tc>
          <w:tcPr>
            <w:tcW w:w="367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тво машин и оборудования</w:t>
            </w:r>
          </w:p>
        </w:tc>
        <w:tc>
          <w:tcPr>
            <w:tcW w:w="367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AD6A35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 т.ч.</w:t>
            </w: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</w:t>
            </w:r>
            <w:r w:rsidR="00AD6A3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изв</w:t>
            </w: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одство машин и оборудования </w:t>
            </w:r>
            <w:proofErr w:type="gramStart"/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сельского </w:t>
            </w:r>
          </w:p>
        </w:tc>
        <w:tc>
          <w:tcPr>
            <w:tcW w:w="367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ство транспортных средств и оборудования</w:t>
            </w:r>
          </w:p>
        </w:tc>
        <w:tc>
          <w:tcPr>
            <w:tcW w:w="362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 т.ч.</w:t>
            </w:r>
          </w:p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производство автомобилей</w:t>
            </w:r>
          </w:p>
        </w:tc>
        <w:tc>
          <w:tcPr>
            <w:tcW w:w="419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BB" w:rsidRPr="00B41EBB" w:rsidTr="004A50CD">
        <w:trPr>
          <w:trHeight w:val="312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31582 836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4567 464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1621 899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349 218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444 459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15 019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564 614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157 066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1083 967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637 150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2327 741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1777 010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01.02.2014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2296 013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358 245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115 289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20 960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40 698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52 654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14 414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100 358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26 929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112 295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127 260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01.03.2014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4615 204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703 857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224 688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44 361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75 946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97 647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27 132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168 341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68 562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270 777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233 499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7475 730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1181 884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400 048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76 772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129 900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162 273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41 319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268 687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129 005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439 550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348 192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01.05.2014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10331 700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1696 887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591 157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112 989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184 581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207 870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52 346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352 979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181 791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616 854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479 617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01.06.2014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12704 591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2068 514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731 886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139 746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225 433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250 478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65 667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402 906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224 105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800 687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606 036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33241 362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5412 661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2228 739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368 994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518 186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13 766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699 180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201 424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915 241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573 527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1886 793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1679 674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01.02.2015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1530 671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363 268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196 788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26 489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20 841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20 902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31 443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19 832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41 600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49 253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01.03.2015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3547 002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833 851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466 495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61 110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45 279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58 240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16 556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74 259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54 097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98 945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120 241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5885 433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1428 130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830 566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106 622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77 226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2 611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95 529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31 922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126 804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106 241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194 885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199 231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01.05.2015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8454 838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2029 028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1166 769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132 801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130 234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4 301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140 585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46 356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186 323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155 191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306 535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361 246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01.06.2015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10560 765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2586 230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1455 824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163 387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167 999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181 125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64 083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236 482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196 529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412 931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465 274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29995 671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7434 593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4086 355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355 693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432 325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14 155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650 277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230 196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773 335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639 837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1269 041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1607 049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1986 703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511 792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263 705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24 814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52 095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20 022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54 725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42 773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53 790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81 670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01.03.2016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4176 120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1000 140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513 660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43 849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58 432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92 693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34 375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125 111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102 412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124 076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197 700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6782 437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1684 592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906 616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69 645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98 178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6 153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152 456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49 396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205 155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170 534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236 516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305 597</w:t>
            </w:r>
          </w:p>
        </w:tc>
      </w:tr>
      <w:tr w:rsidR="00B41EBB" w:rsidRPr="00B41EBB" w:rsidTr="00AD6A35">
        <w:trPr>
          <w:trHeight w:val="510"/>
        </w:trPr>
        <w:tc>
          <w:tcPr>
            <w:tcW w:w="395" w:type="pct"/>
            <w:vAlign w:val="center"/>
            <w:hideMark/>
          </w:tcPr>
          <w:p w:rsidR="00B41EBB" w:rsidRPr="00B41EBB" w:rsidRDefault="00B41EBB" w:rsidP="007F6961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01.04.2016/01.04.2015</w:t>
            </w:r>
            <w:r w:rsidR="007F69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(индекс)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AD6A3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1,53</w:t>
            </w:r>
          </w:p>
        </w:tc>
      </w:tr>
      <w:tr w:rsidR="00B41EBB" w:rsidRPr="00B41EBB" w:rsidTr="00AD6A35">
        <w:trPr>
          <w:trHeight w:val="417"/>
        </w:trPr>
        <w:tc>
          <w:tcPr>
            <w:tcW w:w="395" w:type="pct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01.04.2016/01.04.2014</w:t>
            </w:r>
            <w:r w:rsidR="007F69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(индекс)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0,88</w:t>
            </w:r>
          </w:p>
        </w:tc>
      </w:tr>
      <w:tr w:rsidR="00B41EBB" w:rsidRPr="00B41EBB" w:rsidTr="00AD6A35">
        <w:trPr>
          <w:trHeight w:val="128"/>
        </w:trPr>
        <w:tc>
          <w:tcPr>
            <w:tcW w:w="395" w:type="pct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1кв.2016/  1кв.2014</w:t>
            </w:r>
            <w:r w:rsidR="007F69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(индекс)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0,83</w:t>
            </w:r>
          </w:p>
        </w:tc>
      </w:tr>
    </w:tbl>
    <w:p w:rsidR="00D07C07" w:rsidRDefault="00B41EBB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Как видим, 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 xml:space="preserve">по сравнению с 2014 годом произошло резкое падение, обусловленное снижением спроса на продукцию соответствующей отрасли в связи с кризисными событиями в экономике. </w:t>
      </w:r>
      <w:r w:rsidR="00AD6A35">
        <w:rPr>
          <w:rFonts w:ascii="Arial" w:eastAsia="Times New Roman" w:hAnsi="Arial" w:cs="Arial"/>
          <w:sz w:val="20"/>
          <w:szCs w:val="20"/>
          <w:lang w:eastAsia="ru-RU"/>
        </w:rPr>
        <w:t>Однако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AD6A3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по сравнению с 2015 годом по всем ключевым отраслям, за исключением химической, общий объем кредитования существенно увеличился.</w:t>
      </w:r>
    </w:p>
    <w:p w:rsidR="00FA16EB" w:rsidRDefault="007F6961" w:rsidP="00C2021B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в январе-марте 2016 года кредитные организации предоставили ипотечных жилищных кредитов </w:t>
      </w:r>
      <w:r w:rsidR="00C2021B">
        <w:rPr>
          <w:rFonts w:ascii="Arial" w:eastAsia="Times New Roman" w:hAnsi="Arial" w:cs="Arial"/>
          <w:sz w:val="20"/>
          <w:szCs w:val="20"/>
          <w:lang w:eastAsia="ru-RU"/>
        </w:rPr>
        <w:t xml:space="preserve">(ИЖК) </w:t>
      </w:r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на общую сумму 323,4 </w:t>
      </w:r>
      <w:proofErr w:type="gramStart"/>
      <w:r w:rsidRPr="007F6961">
        <w:rPr>
          <w:rFonts w:ascii="Arial" w:eastAsia="Times New Roman" w:hAnsi="Arial" w:cs="Arial"/>
          <w:sz w:val="20"/>
          <w:szCs w:val="20"/>
          <w:lang w:eastAsia="ru-RU"/>
        </w:rPr>
        <w:t>млрд</w:t>
      </w:r>
      <w:proofErr w:type="gramEnd"/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Динамика объема предоставленных в I квартале с. г. ИЖК, в отличие от 2015 года, была положительной: прирост предоставленных средств по сравнению с соответствующим периодом 2015 года составил 48,3%. Прирост по-прежнему обеспечивался исключительно </w:t>
      </w:r>
      <w:proofErr w:type="gramStart"/>
      <w:r w:rsidRPr="007F6961">
        <w:rPr>
          <w:rFonts w:ascii="Arial" w:eastAsia="Times New Roman" w:hAnsi="Arial" w:cs="Arial"/>
          <w:sz w:val="20"/>
          <w:szCs w:val="20"/>
          <w:lang w:eastAsia="ru-RU"/>
        </w:rPr>
        <w:t>предоставленными</w:t>
      </w:r>
      <w:proofErr w:type="gramEnd"/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 ИЖК в рублях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FA16EB" w:rsidRPr="00FA16E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FA16EB">
        <w:rPr>
          <w:rFonts w:ascii="Arial" w:eastAsia="Times New Roman" w:hAnsi="Arial" w:cs="Arial"/>
          <w:sz w:val="20"/>
          <w:szCs w:val="20"/>
          <w:lang w:eastAsia="ru-RU"/>
        </w:rPr>
        <w:t xml:space="preserve">Средневзвешенная </w:t>
      </w:r>
      <w:r w:rsidR="00FA16EB" w:rsidRPr="007F6961">
        <w:rPr>
          <w:rFonts w:ascii="Arial" w:eastAsia="Times New Roman" w:hAnsi="Arial" w:cs="Arial"/>
          <w:sz w:val="20"/>
          <w:szCs w:val="20"/>
          <w:lang w:eastAsia="ru-RU"/>
        </w:rPr>
        <w:t>ставка по ИЖК в рублях, выданным в ма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рте 2016 года, составила 12,86%</w:t>
      </w:r>
      <w:r w:rsidR="00FA16EB" w:rsidRPr="00356ED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</w:p>
    <w:p w:rsidR="00E2143F" w:rsidRPr="00875472" w:rsidRDefault="00FA16EB" w:rsidP="00C2021B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r w:rsidR="007F6961"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бъем средств в иностранной валюте, сокращающийся третий год подряд, в январе-марте 2016 года уменьшился до 0,3 </w:t>
      </w:r>
      <w:proofErr w:type="gramStart"/>
      <w:r w:rsidR="007F6961" w:rsidRPr="007F6961">
        <w:rPr>
          <w:rFonts w:ascii="Arial" w:eastAsia="Times New Roman" w:hAnsi="Arial" w:cs="Arial"/>
          <w:sz w:val="20"/>
          <w:szCs w:val="20"/>
          <w:lang w:eastAsia="ru-RU"/>
        </w:rPr>
        <w:t>млрд</w:t>
      </w:r>
      <w:proofErr w:type="gramEnd"/>
      <w:r w:rsidR="007F6961"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 в рублевом эквиваленте, составив 0,1% от объема ИЖК, предоставленных заемщикам с начала года.</w:t>
      </w:r>
      <w:r w:rsidR="00C2021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75472" w:rsidRPr="00C007A5" w:rsidRDefault="00875472" w:rsidP="00C007A5">
      <w:pPr>
        <w:spacing w:line="240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 w:rsidRPr="00875472">
        <w:rPr>
          <w:rFonts w:ascii="Arial" w:hAnsi="Arial" w:cs="Arial"/>
          <w:b/>
          <w:sz w:val="20"/>
          <w:szCs w:val="20"/>
        </w:rPr>
        <w:t>Инвестиции</w:t>
      </w:r>
    </w:p>
    <w:p w:rsidR="005652B3" w:rsidRPr="005518B4" w:rsidRDefault="00526439" w:rsidP="005518B4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 причине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 снижения потребительского спроса </w:t>
      </w:r>
      <w:r w:rsidR="00E9247B">
        <w:rPr>
          <w:rFonts w:ascii="Arial" w:hAnsi="Arial" w:cs="Arial"/>
          <w:bCs/>
          <w:sz w:val="20"/>
          <w:szCs w:val="20"/>
        </w:rPr>
        <w:t>наблюдался</w:t>
      </w:r>
      <w:r w:rsidR="00875472" w:rsidRPr="00875472">
        <w:rPr>
          <w:rFonts w:ascii="Arial" w:hAnsi="Arial" w:cs="Arial"/>
          <w:bCs/>
          <w:sz w:val="20"/>
          <w:szCs w:val="20"/>
        </w:rPr>
        <w:t xml:space="preserve"> </w:t>
      </w:r>
      <w:r w:rsidR="005652B3" w:rsidRPr="00875472">
        <w:rPr>
          <w:rFonts w:ascii="Arial" w:hAnsi="Arial" w:cs="Arial"/>
          <w:bCs/>
          <w:sz w:val="20"/>
          <w:szCs w:val="20"/>
        </w:rPr>
        <w:t>спад инвестиций</w:t>
      </w:r>
      <w:r w:rsidR="008A0859">
        <w:rPr>
          <w:rFonts w:ascii="Arial" w:hAnsi="Arial" w:cs="Arial"/>
          <w:bCs/>
          <w:sz w:val="20"/>
          <w:szCs w:val="20"/>
        </w:rPr>
        <w:t>.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 </w:t>
      </w:r>
      <w:r w:rsidR="008A0859">
        <w:rPr>
          <w:rFonts w:ascii="Arial" w:hAnsi="Arial" w:cs="Arial"/>
          <w:bCs/>
          <w:sz w:val="20"/>
          <w:szCs w:val="20"/>
        </w:rPr>
        <w:t>П</w:t>
      </w:r>
      <w:r w:rsidR="008A0859" w:rsidRPr="008A0859">
        <w:rPr>
          <w:rFonts w:ascii="Arial" w:hAnsi="Arial" w:cs="Arial"/>
          <w:bCs/>
          <w:sz w:val="20"/>
          <w:szCs w:val="20"/>
        </w:rPr>
        <w:t>о данным Росстата</w:t>
      </w:r>
      <w:r w:rsidR="008A0859">
        <w:rPr>
          <w:rFonts w:ascii="Arial" w:hAnsi="Arial" w:cs="Arial"/>
          <w:bCs/>
          <w:sz w:val="20"/>
          <w:szCs w:val="20"/>
        </w:rPr>
        <w:t>,</w:t>
      </w:r>
      <w:r w:rsidR="008A0859" w:rsidRPr="008A0859">
        <w:rPr>
          <w:rFonts w:ascii="Arial" w:hAnsi="Arial" w:cs="Arial"/>
          <w:bCs/>
          <w:sz w:val="20"/>
          <w:szCs w:val="20"/>
        </w:rPr>
        <w:t xml:space="preserve"> в январе-марте 2016 г. по отношению к январю-марту 2015 г. сокращение </w:t>
      </w:r>
      <w:r w:rsidR="008A0859">
        <w:rPr>
          <w:rFonts w:ascii="Arial" w:hAnsi="Arial" w:cs="Arial"/>
          <w:bCs/>
          <w:sz w:val="20"/>
          <w:szCs w:val="20"/>
        </w:rPr>
        <w:t xml:space="preserve">инвестиций в основной капитал </w:t>
      </w:r>
      <w:r w:rsidR="008A0859" w:rsidRPr="008A0859">
        <w:rPr>
          <w:rFonts w:ascii="Arial" w:hAnsi="Arial" w:cs="Arial"/>
          <w:bCs/>
          <w:sz w:val="20"/>
          <w:szCs w:val="20"/>
        </w:rPr>
        <w:t xml:space="preserve">составило 8,4 </w:t>
      </w:r>
      <w:r w:rsidR="008A0859">
        <w:rPr>
          <w:rFonts w:ascii="Arial" w:hAnsi="Arial" w:cs="Arial"/>
          <w:bCs/>
          <w:sz w:val="20"/>
          <w:szCs w:val="20"/>
        </w:rPr>
        <w:t>%</w:t>
      </w:r>
      <w:r w:rsidR="00875472" w:rsidRPr="00875472">
        <w:rPr>
          <w:rFonts w:ascii="Arial" w:hAnsi="Arial" w:cs="Arial"/>
          <w:bCs/>
          <w:sz w:val="20"/>
          <w:szCs w:val="20"/>
        </w:rPr>
        <w:t xml:space="preserve"> (для сравнения, 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в 2009 году снижение было </w:t>
      </w:r>
      <w:r w:rsidR="00875472" w:rsidRPr="00875472">
        <w:rPr>
          <w:rFonts w:ascii="Arial" w:hAnsi="Arial" w:cs="Arial"/>
          <w:bCs/>
          <w:sz w:val="20"/>
          <w:szCs w:val="20"/>
        </w:rPr>
        <w:t>-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 13,5%</w:t>
      </w:r>
      <w:r w:rsidR="00875472" w:rsidRPr="00875472">
        <w:rPr>
          <w:rFonts w:ascii="Arial" w:hAnsi="Arial" w:cs="Arial"/>
          <w:bCs/>
          <w:sz w:val="20"/>
          <w:szCs w:val="20"/>
        </w:rPr>
        <w:t>)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. </w:t>
      </w:r>
      <w:r w:rsidR="00875472">
        <w:rPr>
          <w:rFonts w:ascii="Arial" w:hAnsi="Arial" w:cs="Arial"/>
          <w:bCs/>
          <w:sz w:val="20"/>
          <w:szCs w:val="20"/>
        </w:rPr>
        <w:t>О</w:t>
      </w:r>
      <w:r w:rsidR="005652B3" w:rsidRPr="00875472">
        <w:rPr>
          <w:rFonts w:ascii="Arial" w:hAnsi="Arial" w:cs="Arial"/>
          <w:bCs/>
          <w:sz w:val="20"/>
          <w:szCs w:val="20"/>
        </w:rPr>
        <w:t>трицательная динамика инвестиций сохраняется уже третий год подряд</w:t>
      </w:r>
      <w:r w:rsidR="00875472">
        <w:rPr>
          <w:rFonts w:ascii="Arial" w:hAnsi="Arial" w:cs="Arial"/>
          <w:bCs/>
          <w:sz w:val="20"/>
          <w:szCs w:val="20"/>
        </w:rPr>
        <w:t xml:space="preserve"> и объясняется неопределенностью и неуверенностью в целом по экономике.</w:t>
      </w:r>
      <w:r w:rsidR="00110493">
        <w:rPr>
          <w:rFonts w:ascii="Arial" w:hAnsi="Arial" w:cs="Arial"/>
          <w:bCs/>
          <w:sz w:val="20"/>
          <w:szCs w:val="20"/>
        </w:rPr>
        <w:t xml:space="preserve"> </w:t>
      </w:r>
      <w:r w:rsidR="00110493">
        <w:rPr>
          <w:rFonts w:ascii="Arial" w:hAnsi="Arial" w:cs="Arial"/>
          <w:sz w:val="20"/>
          <w:szCs w:val="20"/>
        </w:rPr>
        <w:t>Одной из причин является</w:t>
      </w:r>
      <w:r w:rsidR="005652B3" w:rsidRPr="004B1153">
        <w:rPr>
          <w:rFonts w:ascii="Arial" w:hAnsi="Arial" w:cs="Arial"/>
          <w:sz w:val="20"/>
          <w:szCs w:val="20"/>
        </w:rPr>
        <w:t xml:space="preserve"> удорожани</w:t>
      </w:r>
      <w:r w:rsidR="00110493">
        <w:rPr>
          <w:rFonts w:ascii="Arial" w:hAnsi="Arial" w:cs="Arial"/>
          <w:sz w:val="20"/>
          <w:szCs w:val="20"/>
        </w:rPr>
        <w:t>е заемного капитала. И</w:t>
      </w:r>
      <w:r w:rsidR="005652B3" w:rsidRPr="004B1153">
        <w:rPr>
          <w:rFonts w:ascii="Arial" w:hAnsi="Arial" w:cs="Arial"/>
          <w:sz w:val="20"/>
          <w:szCs w:val="20"/>
        </w:rPr>
        <w:t xml:space="preserve">ностранный капитал вследствие санкций для многих компаний стал недоступен, </w:t>
      </w:r>
      <w:r w:rsidR="00110493">
        <w:rPr>
          <w:rFonts w:ascii="Arial" w:hAnsi="Arial" w:cs="Arial"/>
          <w:sz w:val="20"/>
          <w:szCs w:val="20"/>
        </w:rPr>
        <w:t>а</w:t>
      </w:r>
      <w:r w:rsidR="005652B3" w:rsidRPr="004B1153">
        <w:rPr>
          <w:rFonts w:ascii="Arial" w:hAnsi="Arial" w:cs="Arial"/>
          <w:sz w:val="20"/>
          <w:szCs w:val="20"/>
        </w:rPr>
        <w:t xml:space="preserve"> кредиты российских банков резко подорожали п</w:t>
      </w:r>
      <w:r w:rsidR="00664C44">
        <w:rPr>
          <w:rFonts w:ascii="Arial" w:hAnsi="Arial" w:cs="Arial"/>
          <w:sz w:val="20"/>
          <w:szCs w:val="20"/>
        </w:rPr>
        <w:t>осле повышения ключевой ставки.</w:t>
      </w:r>
      <w:r w:rsidR="00110493">
        <w:rPr>
          <w:rFonts w:ascii="Arial" w:hAnsi="Arial" w:cs="Arial"/>
          <w:sz w:val="20"/>
          <w:szCs w:val="20"/>
        </w:rPr>
        <w:t xml:space="preserve"> </w:t>
      </w:r>
      <w:r w:rsidR="00664C44">
        <w:rPr>
          <w:rFonts w:ascii="Arial" w:hAnsi="Arial" w:cs="Arial"/>
          <w:sz w:val="20"/>
          <w:szCs w:val="20"/>
        </w:rPr>
        <w:t>И</w:t>
      </w:r>
      <w:r w:rsidR="005652B3" w:rsidRPr="004B1153">
        <w:rPr>
          <w:rFonts w:ascii="Arial" w:hAnsi="Arial" w:cs="Arial"/>
          <w:sz w:val="20"/>
          <w:szCs w:val="20"/>
        </w:rPr>
        <w:t>нвестиционной активности</w:t>
      </w:r>
      <w:r w:rsidR="00110493">
        <w:rPr>
          <w:rFonts w:ascii="Arial" w:hAnsi="Arial" w:cs="Arial"/>
          <w:sz w:val="20"/>
          <w:szCs w:val="20"/>
        </w:rPr>
        <w:t xml:space="preserve"> можно ждать только в условиях политической и экономической стабильности и при снижении ставок по кредитам</w:t>
      </w:r>
      <w:r w:rsidR="005652B3" w:rsidRPr="004B1153">
        <w:rPr>
          <w:rFonts w:ascii="Arial" w:hAnsi="Arial" w:cs="Arial"/>
          <w:sz w:val="20"/>
          <w:szCs w:val="20"/>
        </w:rPr>
        <w:t xml:space="preserve">. </w:t>
      </w:r>
      <w:r w:rsidR="00110493">
        <w:rPr>
          <w:rFonts w:ascii="Arial" w:hAnsi="Arial" w:cs="Arial"/>
          <w:sz w:val="20"/>
          <w:szCs w:val="20"/>
        </w:rPr>
        <w:t>Но пока</w:t>
      </w:r>
      <w:r w:rsidR="005652B3" w:rsidRPr="004B1153">
        <w:rPr>
          <w:rFonts w:ascii="Arial" w:hAnsi="Arial" w:cs="Arial"/>
          <w:sz w:val="20"/>
          <w:szCs w:val="20"/>
        </w:rPr>
        <w:t xml:space="preserve"> </w:t>
      </w:r>
      <w:r w:rsidR="0087417C">
        <w:rPr>
          <w:rFonts w:ascii="Arial" w:hAnsi="Arial" w:cs="Arial"/>
          <w:sz w:val="20"/>
          <w:szCs w:val="20"/>
        </w:rPr>
        <w:t>политиче</w:t>
      </w:r>
      <w:r w:rsidR="002A65D1">
        <w:rPr>
          <w:rFonts w:ascii="Arial" w:hAnsi="Arial" w:cs="Arial"/>
          <w:sz w:val="20"/>
          <w:szCs w:val="20"/>
        </w:rPr>
        <w:t>ская напряженность сохраняется и поддерживается извне</w:t>
      </w:r>
      <w:r w:rsidR="0087417C">
        <w:rPr>
          <w:rFonts w:ascii="Arial" w:hAnsi="Arial" w:cs="Arial"/>
          <w:sz w:val="20"/>
          <w:szCs w:val="20"/>
        </w:rPr>
        <w:t xml:space="preserve">, а </w:t>
      </w:r>
      <w:r w:rsidR="00E9247B">
        <w:rPr>
          <w:rFonts w:ascii="Arial" w:hAnsi="Arial" w:cs="Arial"/>
          <w:sz w:val="20"/>
          <w:szCs w:val="20"/>
        </w:rPr>
        <w:t xml:space="preserve">ощутимое </w:t>
      </w:r>
      <w:r w:rsidR="005652B3" w:rsidRPr="004B1153">
        <w:rPr>
          <w:rFonts w:ascii="Arial" w:hAnsi="Arial" w:cs="Arial"/>
          <w:sz w:val="20"/>
          <w:szCs w:val="20"/>
        </w:rPr>
        <w:t xml:space="preserve">понижение </w:t>
      </w:r>
      <w:r w:rsidR="00E9247B">
        <w:rPr>
          <w:rFonts w:ascii="Arial" w:hAnsi="Arial" w:cs="Arial"/>
          <w:sz w:val="20"/>
          <w:szCs w:val="20"/>
        </w:rPr>
        <w:t xml:space="preserve">ключевой </w:t>
      </w:r>
      <w:r w:rsidR="005652B3" w:rsidRPr="004B1153">
        <w:rPr>
          <w:rFonts w:ascii="Arial" w:hAnsi="Arial" w:cs="Arial"/>
          <w:sz w:val="20"/>
          <w:szCs w:val="20"/>
        </w:rPr>
        <w:t xml:space="preserve">ставки маловероятно </w:t>
      </w:r>
      <w:r w:rsidR="00110493">
        <w:rPr>
          <w:rFonts w:ascii="Arial" w:hAnsi="Arial" w:cs="Arial"/>
          <w:sz w:val="20"/>
          <w:szCs w:val="20"/>
        </w:rPr>
        <w:t>в связи с высокими</w:t>
      </w:r>
      <w:r w:rsidR="005652B3" w:rsidRPr="004B1153">
        <w:rPr>
          <w:rFonts w:ascii="Arial" w:hAnsi="Arial" w:cs="Arial"/>
          <w:sz w:val="20"/>
          <w:szCs w:val="20"/>
        </w:rPr>
        <w:t xml:space="preserve"> инфляционны</w:t>
      </w:r>
      <w:r w:rsidR="0087417C">
        <w:rPr>
          <w:rFonts w:ascii="Arial" w:hAnsi="Arial" w:cs="Arial"/>
          <w:sz w:val="20"/>
          <w:szCs w:val="20"/>
        </w:rPr>
        <w:t>ми рисками</w:t>
      </w:r>
      <w:r w:rsidR="005652B3" w:rsidRPr="004B1153">
        <w:rPr>
          <w:rFonts w:ascii="Arial" w:hAnsi="Arial" w:cs="Arial"/>
          <w:sz w:val="20"/>
          <w:szCs w:val="20"/>
        </w:rPr>
        <w:t>.</w:t>
      </w:r>
    </w:p>
    <w:p w:rsidR="005518B4" w:rsidRDefault="0005622B" w:rsidP="00D23C92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5518B4" w:rsidRPr="005518B4">
        <w:rPr>
          <w:rFonts w:ascii="Arial" w:hAnsi="Arial" w:cs="Arial"/>
          <w:sz w:val="20"/>
          <w:szCs w:val="20"/>
        </w:rPr>
        <w:t>ост экономики США в</w:t>
      </w:r>
      <w:r w:rsidR="00593089">
        <w:rPr>
          <w:rFonts w:ascii="Arial" w:hAnsi="Arial" w:cs="Arial"/>
          <w:sz w:val="20"/>
          <w:szCs w:val="20"/>
        </w:rPr>
        <w:t xml:space="preserve"> начале II квартала</w:t>
      </w:r>
      <w:r>
        <w:rPr>
          <w:rFonts w:ascii="Arial" w:hAnsi="Arial" w:cs="Arial"/>
          <w:sz w:val="20"/>
          <w:szCs w:val="20"/>
        </w:rPr>
        <w:t xml:space="preserve"> и</w:t>
      </w:r>
      <w:r w:rsidR="00593089">
        <w:rPr>
          <w:rFonts w:ascii="Arial" w:hAnsi="Arial" w:cs="Arial"/>
          <w:sz w:val="20"/>
          <w:szCs w:val="20"/>
        </w:rPr>
        <w:t xml:space="preserve"> стабилиза</w:t>
      </w:r>
      <w:r w:rsidR="005518B4" w:rsidRPr="005518B4">
        <w:rPr>
          <w:rFonts w:ascii="Arial" w:hAnsi="Arial" w:cs="Arial"/>
          <w:sz w:val="20"/>
          <w:szCs w:val="20"/>
        </w:rPr>
        <w:t>ция темпов роста в других странах, включая</w:t>
      </w:r>
      <w:r w:rsidR="00593089">
        <w:rPr>
          <w:rFonts w:ascii="Arial" w:hAnsi="Arial" w:cs="Arial"/>
          <w:sz w:val="20"/>
          <w:szCs w:val="20"/>
        </w:rPr>
        <w:t xml:space="preserve"> Китай, могут побудить ФРС к </w:t>
      </w:r>
      <w:r w:rsidR="005518B4" w:rsidRPr="005518B4">
        <w:rPr>
          <w:rFonts w:ascii="Arial" w:hAnsi="Arial" w:cs="Arial"/>
          <w:sz w:val="20"/>
          <w:szCs w:val="20"/>
        </w:rPr>
        <w:t>повышени</w:t>
      </w:r>
      <w:r w:rsidR="00593089">
        <w:rPr>
          <w:rFonts w:ascii="Arial" w:hAnsi="Arial" w:cs="Arial"/>
          <w:sz w:val="20"/>
          <w:szCs w:val="20"/>
        </w:rPr>
        <w:t xml:space="preserve">ю </w:t>
      </w:r>
      <w:r w:rsidR="005518B4" w:rsidRPr="005518B4">
        <w:rPr>
          <w:rFonts w:ascii="Arial" w:hAnsi="Arial" w:cs="Arial"/>
          <w:sz w:val="20"/>
          <w:szCs w:val="20"/>
        </w:rPr>
        <w:t>ключевой ст</w:t>
      </w:r>
      <w:r w:rsidR="00593089">
        <w:rPr>
          <w:rFonts w:ascii="Arial" w:hAnsi="Arial" w:cs="Arial"/>
          <w:sz w:val="20"/>
          <w:szCs w:val="20"/>
        </w:rPr>
        <w:t xml:space="preserve">авки. Это </w:t>
      </w:r>
      <w:r w:rsidR="005518B4" w:rsidRPr="005518B4">
        <w:rPr>
          <w:rFonts w:ascii="Arial" w:hAnsi="Arial" w:cs="Arial"/>
          <w:sz w:val="20"/>
          <w:szCs w:val="20"/>
        </w:rPr>
        <w:t xml:space="preserve">создает </w:t>
      </w:r>
      <w:r w:rsidR="00593089" w:rsidRPr="005518B4">
        <w:rPr>
          <w:rFonts w:ascii="Arial" w:hAnsi="Arial" w:cs="Arial"/>
          <w:sz w:val="20"/>
          <w:szCs w:val="20"/>
        </w:rPr>
        <w:t>риски оттока капитала с рынк</w:t>
      </w:r>
      <w:r w:rsidR="00593089">
        <w:rPr>
          <w:rFonts w:ascii="Arial" w:hAnsi="Arial" w:cs="Arial"/>
          <w:sz w:val="20"/>
          <w:szCs w:val="20"/>
        </w:rPr>
        <w:t>а России</w:t>
      </w:r>
      <w:r w:rsidR="00593089" w:rsidRPr="005518B4">
        <w:rPr>
          <w:rFonts w:ascii="Arial" w:hAnsi="Arial" w:cs="Arial"/>
          <w:sz w:val="20"/>
          <w:szCs w:val="20"/>
        </w:rPr>
        <w:t>.</w:t>
      </w:r>
      <w:r w:rsidR="000344CA">
        <w:rPr>
          <w:rFonts w:ascii="Arial" w:hAnsi="Arial" w:cs="Arial"/>
          <w:sz w:val="20"/>
          <w:szCs w:val="20"/>
        </w:rPr>
        <w:t xml:space="preserve"> </w:t>
      </w:r>
    </w:p>
    <w:p w:rsidR="00D058FC" w:rsidRDefault="00C007A5" w:rsidP="00717B8C">
      <w:pPr>
        <w:spacing w:before="240" w:after="0" w:line="240" w:lineRule="auto"/>
        <w:ind w:firstLine="284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</w:t>
      </w:r>
      <w:r w:rsidRPr="00C2138D">
        <w:rPr>
          <w:rFonts w:ascii="Arial" w:hAnsi="Arial" w:cs="Arial"/>
          <w:b/>
          <w:sz w:val="20"/>
          <w:szCs w:val="20"/>
        </w:rPr>
        <w:t>троительств</w:t>
      </w:r>
      <w:r>
        <w:rPr>
          <w:rFonts w:ascii="Arial" w:hAnsi="Arial" w:cs="Arial"/>
          <w:b/>
          <w:sz w:val="20"/>
          <w:szCs w:val="20"/>
        </w:rPr>
        <w:t>о</w:t>
      </w:r>
      <w:r w:rsidR="00717B8C">
        <w:rPr>
          <w:rFonts w:ascii="Arial" w:hAnsi="Arial" w:cs="Arial"/>
          <w:b/>
          <w:sz w:val="20"/>
          <w:szCs w:val="20"/>
        </w:rPr>
        <w:t xml:space="preserve"> </w:t>
      </w:r>
    </w:p>
    <w:p w:rsidR="00717B8C" w:rsidRDefault="00717B8C" w:rsidP="00717B8C">
      <w:pPr>
        <w:spacing w:before="240" w:after="0" w:line="240" w:lineRule="auto"/>
        <w:ind w:firstLine="284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717B8C">
        <w:rPr>
          <w:rFonts w:ascii="TimesNewRomanPSMT" w:hAnsi="TimesNewRomanPSMT" w:cs="TimesNewRomanPSMT"/>
          <w:sz w:val="20"/>
          <w:szCs w:val="20"/>
        </w:rPr>
        <w:t>В I кв</w:t>
      </w:r>
      <w:r w:rsidR="00526439">
        <w:rPr>
          <w:rFonts w:ascii="TimesNewRomanPSMT" w:hAnsi="TimesNewRomanPSMT" w:cs="TimesNewRomanPSMT"/>
          <w:sz w:val="20"/>
          <w:szCs w:val="20"/>
        </w:rPr>
        <w:t>.</w:t>
      </w:r>
      <w:r w:rsidRPr="00717B8C">
        <w:rPr>
          <w:rFonts w:ascii="TimesNewRomanPSMT" w:hAnsi="TimesNewRomanPSMT" w:cs="TimesNewRomanPSMT"/>
          <w:sz w:val="20"/>
          <w:szCs w:val="20"/>
        </w:rPr>
        <w:t xml:space="preserve"> 2016г. введено в эксплуатацию квартир общей площадью 15,6 млн.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кв.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метров, что составило 83,7% к соответствующему периоду предыдущего года (в I квартале 2015г. было введено 18,6 млн.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кв.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метров жилья, 133,5% к I кварталу 2014 года).</w:t>
      </w:r>
      <w:r>
        <w:rPr>
          <w:rFonts w:ascii="TimesNewRomanPSMT" w:hAnsi="TimesNewRomanPSMT" w:cs="TimesNewRomanPSMT"/>
          <w:sz w:val="20"/>
          <w:szCs w:val="20"/>
        </w:rPr>
        <w:t xml:space="preserve"> И</w:t>
      </w:r>
      <w:r w:rsidRPr="00717B8C">
        <w:rPr>
          <w:rFonts w:ascii="TimesNewRomanPSMT" w:hAnsi="TimesNewRomanPSMT" w:cs="TimesNewRomanPSMT"/>
          <w:sz w:val="20"/>
          <w:szCs w:val="20"/>
        </w:rPr>
        <w:t>ндивидуальными застройщиками введено 48,9 тыс. жилых домов общей площадью 6,3 млн.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кв.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метров, что составило 65,6% к I кварталу 2015 года. При этом доля индивидуального домостроения в общей площади завершенного строительств</w:t>
      </w:r>
      <w:r>
        <w:rPr>
          <w:rFonts w:ascii="TimesNewRomanPSMT" w:hAnsi="TimesNewRomanPSMT" w:cs="TimesNewRomanPSMT"/>
          <w:sz w:val="20"/>
          <w:szCs w:val="20"/>
        </w:rPr>
        <w:t>а</w:t>
      </w:r>
      <w:r w:rsidRPr="00717B8C">
        <w:rPr>
          <w:rFonts w:ascii="TimesNewRomanPSMT" w:hAnsi="TimesNewRomanPSMT" w:cs="TimesNewRomanPSMT"/>
          <w:sz w:val="20"/>
          <w:szCs w:val="20"/>
        </w:rPr>
        <w:t xml:space="preserve"> жилья составила: в целом по России - 40,5%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717B8C" w:rsidRDefault="00717B8C" w:rsidP="00717B8C">
      <w:pPr>
        <w:spacing w:before="240" w:after="0" w:line="240" w:lineRule="auto"/>
        <w:ind w:firstLine="284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(По субъектам РФ - </w:t>
      </w:r>
      <w:hyperlink r:id="rId9" w:history="1">
        <w:r w:rsidRPr="00BD3B2E">
          <w:rPr>
            <w:rStyle w:val="a5"/>
            <w:rFonts w:ascii="TimesNewRomanPSMT" w:hAnsi="TimesNewRomanPSMT" w:cs="TimesNewRomanPSMT"/>
            <w:sz w:val="20"/>
            <w:szCs w:val="20"/>
          </w:rPr>
          <w:t>http://www.gks.ru/bgd/free/B04_03/IssWWW.exe/Stg/d06/81.htm</w:t>
        </w:r>
      </w:hyperlink>
      <w:r>
        <w:rPr>
          <w:rFonts w:ascii="TimesNewRomanPSMT" w:hAnsi="TimesNewRomanPSMT" w:cs="TimesNewRomanPSMT"/>
          <w:sz w:val="20"/>
          <w:szCs w:val="20"/>
        </w:rPr>
        <w:t xml:space="preserve">) </w:t>
      </w:r>
    </w:p>
    <w:p w:rsidR="00717B8C" w:rsidRDefault="00717B8C" w:rsidP="00717B8C">
      <w:pPr>
        <w:spacing w:before="240" w:after="0" w:line="240" w:lineRule="auto"/>
        <w:ind w:firstLine="284"/>
        <w:contextualSpacing/>
        <w:jc w:val="center"/>
        <w:rPr>
          <w:noProof/>
          <w:lang w:eastAsia="ru-RU"/>
        </w:rPr>
      </w:pPr>
    </w:p>
    <w:p w:rsidR="00717B8C" w:rsidRPr="00D058FC" w:rsidRDefault="00717B8C" w:rsidP="00717B8C">
      <w:pPr>
        <w:spacing w:before="240" w:after="0" w:line="240" w:lineRule="auto"/>
        <w:ind w:firstLine="284"/>
        <w:contextualSpacing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259B37F" wp14:editId="4647B324">
            <wp:extent cx="5248275" cy="2219325"/>
            <wp:effectExtent l="0" t="0" r="9525" b="9525"/>
            <wp:docPr id="8" name="Рисунок 8" descr="http://www.gks.ru/bgd/free/B04_03/IssWWW.exe/Stg/d06/Image1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bgd/free/B04_03/IssWWW.exe/Stg/d06/Image15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0" r="4836" b="8646"/>
                    <a:stretch/>
                  </pic:blipFill>
                  <pic:spPr bwMode="auto">
                    <a:xfrm>
                      <a:off x="0" y="0"/>
                      <a:ext cx="5248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7A5" w:rsidRDefault="00C007A5" w:rsidP="00D058FC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В</w:t>
      </w:r>
      <w:r w:rsidRPr="004B1153">
        <w:rPr>
          <w:rFonts w:ascii="Arial" w:hAnsi="Arial" w:cs="Arial"/>
          <w:bCs/>
          <w:iCs/>
          <w:sz w:val="20"/>
          <w:szCs w:val="20"/>
        </w:rPr>
        <w:t xml:space="preserve"> начале года </w:t>
      </w:r>
      <w:r w:rsidRPr="004B1153">
        <w:rPr>
          <w:rFonts w:ascii="Arial" w:hAnsi="Arial" w:cs="Arial"/>
          <w:bCs/>
          <w:sz w:val="20"/>
          <w:szCs w:val="20"/>
        </w:rPr>
        <w:t xml:space="preserve">Правительство продлило программу льготной ипотеки до конца 2016 года. </w:t>
      </w:r>
      <w:r w:rsidRPr="004B1153">
        <w:rPr>
          <w:rFonts w:ascii="Arial" w:hAnsi="Arial" w:cs="Arial"/>
          <w:sz w:val="20"/>
          <w:szCs w:val="20"/>
        </w:rPr>
        <w:t>На программу предусмотрено до 16,5 миллиарда рублей</w:t>
      </w:r>
      <w:r w:rsidR="004272E4">
        <w:rPr>
          <w:rFonts w:ascii="Arial" w:hAnsi="Arial" w:cs="Arial"/>
          <w:sz w:val="20"/>
          <w:szCs w:val="20"/>
        </w:rPr>
        <w:t xml:space="preserve"> бюджетных средств</w:t>
      </w:r>
      <w:r w:rsidRPr="004B1153">
        <w:rPr>
          <w:rFonts w:ascii="Arial" w:hAnsi="Arial" w:cs="Arial"/>
          <w:sz w:val="20"/>
          <w:szCs w:val="20"/>
        </w:rPr>
        <w:t xml:space="preserve">. Для </w:t>
      </w:r>
      <w:r>
        <w:rPr>
          <w:rFonts w:ascii="Arial" w:hAnsi="Arial" w:cs="Arial"/>
          <w:sz w:val="20"/>
          <w:szCs w:val="20"/>
        </w:rPr>
        <w:t xml:space="preserve">участия в программе </w:t>
      </w:r>
      <w:r w:rsidRPr="004B1153">
        <w:rPr>
          <w:rFonts w:ascii="Arial" w:hAnsi="Arial" w:cs="Arial"/>
          <w:sz w:val="20"/>
          <w:szCs w:val="20"/>
        </w:rPr>
        <w:t>субсиди</w:t>
      </w:r>
      <w:r>
        <w:rPr>
          <w:rFonts w:ascii="Arial" w:hAnsi="Arial" w:cs="Arial"/>
          <w:sz w:val="20"/>
          <w:szCs w:val="20"/>
        </w:rPr>
        <w:t>рования</w:t>
      </w:r>
      <w:r w:rsidRPr="004B1153">
        <w:rPr>
          <w:rFonts w:ascii="Arial" w:hAnsi="Arial" w:cs="Arial"/>
          <w:sz w:val="20"/>
          <w:szCs w:val="20"/>
        </w:rPr>
        <w:t xml:space="preserve"> коммерческие банки должны сохранить максимальную годовую ставку при выдаче ипотечных кредитов в </w:t>
      </w:r>
      <w:r>
        <w:rPr>
          <w:rFonts w:ascii="Arial" w:hAnsi="Arial" w:cs="Arial"/>
          <w:sz w:val="20"/>
          <w:szCs w:val="20"/>
        </w:rPr>
        <w:t xml:space="preserve">пределах </w:t>
      </w:r>
      <w:r w:rsidRPr="004B1153">
        <w:rPr>
          <w:rFonts w:ascii="Arial" w:hAnsi="Arial" w:cs="Arial"/>
          <w:sz w:val="20"/>
          <w:szCs w:val="20"/>
        </w:rPr>
        <w:t xml:space="preserve">12 %. Для населения </w:t>
      </w:r>
      <w:r w:rsidR="00526439">
        <w:rPr>
          <w:rFonts w:ascii="Arial" w:hAnsi="Arial" w:cs="Arial"/>
          <w:sz w:val="20"/>
          <w:szCs w:val="20"/>
        </w:rPr>
        <w:t>ставки сохраняются не выше 12 %</w:t>
      </w:r>
      <w:r w:rsidRPr="004B11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О</w:t>
      </w:r>
      <w:r w:rsidRPr="004B1153">
        <w:rPr>
          <w:rFonts w:ascii="Arial" w:hAnsi="Arial" w:cs="Arial"/>
          <w:bCs/>
          <w:sz w:val="20"/>
          <w:szCs w:val="20"/>
        </w:rPr>
        <w:t xml:space="preserve">бъем выдачи ипотеки планируется поддержать на уровне </w:t>
      </w:r>
      <w:r w:rsidRPr="004B1153">
        <w:rPr>
          <w:rFonts w:ascii="Arial" w:hAnsi="Arial" w:cs="Arial"/>
          <w:sz w:val="20"/>
          <w:szCs w:val="20"/>
        </w:rPr>
        <w:t>900 миллиардов — 1 триллион рублей. В прошлом году объем выдачи превысил 1,1 триллиона. Субсидирование ипотеки поможет поддержать интерес населения к покупке жилья. В 2014 и 2015 годах было введено примерно одинаковое количество жилья — около 84 миллионов</w:t>
      </w:r>
      <w:r w:rsidR="004272E4" w:rsidRPr="004272E4">
        <w:rPr>
          <w:rFonts w:ascii="Arial" w:hAnsi="Arial" w:cs="Arial"/>
          <w:sz w:val="20"/>
          <w:szCs w:val="20"/>
        </w:rPr>
        <w:t xml:space="preserve"> </w:t>
      </w:r>
      <w:r w:rsidR="004272E4" w:rsidRPr="004B1153">
        <w:rPr>
          <w:rFonts w:ascii="Arial" w:hAnsi="Arial" w:cs="Arial"/>
          <w:sz w:val="20"/>
          <w:szCs w:val="20"/>
        </w:rPr>
        <w:t>квадратных метров</w:t>
      </w:r>
      <w:r w:rsidRPr="004B1153">
        <w:rPr>
          <w:rFonts w:ascii="Arial" w:hAnsi="Arial" w:cs="Arial"/>
          <w:sz w:val="20"/>
          <w:szCs w:val="20"/>
        </w:rPr>
        <w:t xml:space="preserve">. Но в 2015 году в единицах квартир было продано на 10% процентов больше, рост объемов ввода жилья </w:t>
      </w:r>
      <w:proofErr w:type="gramStart"/>
      <w:r w:rsidRPr="004B1153">
        <w:rPr>
          <w:rFonts w:ascii="Arial" w:hAnsi="Arial" w:cs="Arial"/>
          <w:sz w:val="20"/>
          <w:szCs w:val="20"/>
        </w:rPr>
        <w:t>эконом-класса</w:t>
      </w:r>
      <w:proofErr w:type="gramEnd"/>
      <w:r w:rsidRPr="004B1153">
        <w:rPr>
          <w:rFonts w:ascii="Arial" w:hAnsi="Arial" w:cs="Arial"/>
          <w:sz w:val="20"/>
          <w:szCs w:val="20"/>
        </w:rPr>
        <w:t xml:space="preserve"> превысил 30%, стали строить больше однокомн</w:t>
      </w:r>
      <w:r w:rsidR="00526439">
        <w:rPr>
          <w:rFonts w:ascii="Arial" w:hAnsi="Arial" w:cs="Arial"/>
          <w:sz w:val="20"/>
          <w:szCs w:val="20"/>
        </w:rPr>
        <w:t>атных квартир и квартир-студий.</w:t>
      </w:r>
      <w:r w:rsidRPr="004B1153">
        <w:rPr>
          <w:rFonts w:ascii="Arial" w:hAnsi="Arial" w:cs="Arial"/>
          <w:sz w:val="20"/>
          <w:szCs w:val="20"/>
        </w:rPr>
        <w:t xml:space="preserve"> </w:t>
      </w:r>
      <w:r w:rsidRPr="004B1153">
        <w:rPr>
          <w:rFonts w:ascii="Arial" w:hAnsi="Arial" w:cs="Arial"/>
          <w:bCs/>
          <w:sz w:val="20"/>
          <w:szCs w:val="20"/>
        </w:rPr>
        <w:t>Регионам</w:t>
      </w:r>
      <w:r w:rsidRPr="004B1153">
        <w:rPr>
          <w:rFonts w:ascii="Arial" w:hAnsi="Arial" w:cs="Arial"/>
          <w:sz w:val="20"/>
          <w:szCs w:val="20"/>
        </w:rPr>
        <w:t xml:space="preserve">, участвующим в программе </w:t>
      </w:r>
      <w:r w:rsidRPr="004B1153">
        <w:rPr>
          <w:rFonts w:ascii="Arial" w:hAnsi="Arial" w:cs="Arial"/>
          <w:bCs/>
          <w:sz w:val="20"/>
          <w:szCs w:val="20"/>
        </w:rPr>
        <w:t>"Жилье для российской семьи"</w:t>
      </w:r>
      <w:r w:rsidRPr="004B1153">
        <w:rPr>
          <w:rFonts w:ascii="Arial" w:hAnsi="Arial" w:cs="Arial"/>
          <w:sz w:val="20"/>
          <w:szCs w:val="20"/>
        </w:rPr>
        <w:t>, будут выделены компенсации за квадратный метр введенного жилья в части инженерной инфраструктуры. Заявленная цена в 35000 руб./</w:t>
      </w:r>
      <w:proofErr w:type="spellStart"/>
      <w:r w:rsidRPr="004B1153">
        <w:rPr>
          <w:rFonts w:ascii="Arial" w:hAnsi="Arial" w:cs="Arial"/>
          <w:sz w:val="20"/>
          <w:szCs w:val="20"/>
        </w:rPr>
        <w:t>кв.м</w:t>
      </w:r>
      <w:proofErr w:type="spellEnd"/>
      <w:r w:rsidRPr="004B1153">
        <w:rPr>
          <w:rFonts w:ascii="Arial" w:hAnsi="Arial" w:cs="Arial"/>
          <w:sz w:val="20"/>
          <w:szCs w:val="20"/>
        </w:rPr>
        <w:t xml:space="preserve">. для покупателей </w:t>
      </w:r>
      <w:r w:rsidR="004272E4">
        <w:rPr>
          <w:rFonts w:ascii="Arial" w:hAnsi="Arial" w:cs="Arial"/>
          <w:sz w:val="20"/>
          <w:szCs w:val="20"/>
        </w:rPr>
        <w:t>пока</w:t>
      </w:r>
      <w:r w:rsidR="004272E4" w:rsidRPr="004B1153">
        <w:rPr>
          <w:rFonts w:ascii="Arial" w:hAnsi="Arial" w:cs="Arial"/>
          <w:sz w:val="20"/>
          <w:szCs w:val="20"/>
        </w:rPr>
        <w:t xml:space="preserve"> </w:t>
      </w:r>
      <w:r w:rsidRPr="004B1153">
        <w:rPr>
          <w:rFonts w:ascii="Arial" w:hAnsi="Arial" w:cs="Arial"/>
          <w:sz w:val="20"/>
          <w:szCs w:val="20"/>
        </w:rPr>
        <w:t>остается</w:t>
      </w:r>
      <w:r w:rsidR="004272E4">
        <w:rPr>
          <w:rFonts w:ascii="Arial" w:hAnsi="Arial" w:cs="Arial"/>
          <w:sz w:val="20"/>
          <w:szCs w:val="20"/>
        </w:rPr>
        <w:t xml:space="preserve"> неизменной.</w:t>
      </w:r>
      <w:r w:rsidR="00424310">
        <w:rPr>
          <w:rFonts w:ascii="Arial" w:hAnsi="Arial" w:cs="Arial"/>
          <w:sz w:val="20"/>
          <w:szCs w:val="20"/>
        </w:rPr>
        <w:t xml:space="preserve"> Москва в этой программе не участвует.</w:t>
      </w:r>
    </w:p>
    <w:p w:rsidR="00143C71" w:rsidRDefault="00CD55C5" w:rsidP="00143C71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</w:t>
      </w:r>
      <w:r w:rsidRPr="00CD55C5">
        <w:rPr>
          <w:rFonts w:ascii="Arial" w:hAnsi="Arial" w:cs="Arial"/>
          <w:sz w:val="20"/>
          <w:szCs w:val="20"/>
        </w:rPr>
        <w:t xml:space="preserve">тмечен </w:t>
      </w:r>
      <w:r>
        <w:rPr>
          <w:rFonts w:ascii="Arial" w:hAnsi="Arial" w:cs="Arial"/>
          <w:sz w:val="20"/>
          <w:szCs w:val="20"/>
        </w:rPr>
        <w:t>существенный</w:t>
      </w:r>
      <w:r w:rsidRPr="00CD55C5">
        <w:rPr>
          <w:rFonts w:ascii="Arial" w:hAnsi="Arial" w:cs="Arial"/>
          <w:sz w:val="20"/>
          <w:szCs w:val="20"/>
        </w:rPr>
        <w:t xml:space="preserve"> рост инвестиций</w:t>
      </w:r>
      <w:r w:rsidR="00AF3126">
        <w:rPr>
          <w:rFonts w:ascii="Arial" w:hAnsi="Arial" w:cs="Arial"/>
          <w:sz w:val="20"/>
          <w:szCs w:val="20"/>
        </w:rPr>
        <w:t>,</w:t>
      </w:r>
      <w:r w:rsidRPr="00CD55C5">
        <w:rPr>
          <w:rFonts w:ascii="Arial" w:hAnsi="Arial" w:cs="Arial"/>
          <w:sz w:val="20"/>
          <w:szCs w:val="20"/>
        </w:rPr>
        <w:t xml:space="preserve"> </w:t>
      </w:r>
      <w:r w:rsidR="00AF3126">
        <w:rPr>
          <w:rFonts w:ascii="Arial" w:hAnsi="Arial" w:cs="Arial"/>
          <w:sz w:val="20"/>
          <w:szCs w:val="20"/>
        </w:rPr>
        <w:t xml:space="preserve">в том числе иностранных, </w:t>
      </w:r>
      <w:r w:rsidRPr="00CD55C5">
        <w:rPr>
          <w:rFonts w:ascii="Arial" w:hAnsi="Arial" w:cs="Arial"/>
          <w:sz w:val="20"/>
          <w:szCs w:val="20"/>
        </w:rPr>
        <w:t>в объекты коммерческой недвижимости: объем вложений в I квартале 2016 г. составил почти 60% показателя за весь 2015 год. Основным фактором интереса, проявляемого инвесторами к России, является потенциал в</w:t>
      </w:r>
      <w:r w:rsidR="00AF3126">
        <w:rPr>
          <w:rFonts w:ascii="Arial" w:hAnsi="Arial" w:cs="Arial"/>
          <w:sz w:val="20"/>
          <w:szCs w:val="20"/>
        </w:rPr>
        <w:t xml:space="preserve">осстановления стоимости активов. </w:t>
      </w:r>
      <w:r w:rsidRPr="00CD55C5">
        <w:rPr>
          <w:rFonts w:ascii="Arial" w:hAnsi="Arial" w:cs="Arial"/>
          <w:sz w:val="20"/>
          <w:szCs w:val="20"/>
        </w:rPr>
        <w:t xml:space="preserve">Несмотря на </w:t>
      </w:r>
      <w:r w:rsidR="00AF3126">
        <w:rPr>
          <w:rFonts w:ascii="Arial" w:hAnsi="Arial" w:cs="Arial"/>
          <w:sz w:val="20"/>
          <w:szCs w:val="20"/>
        </w:rPr>
        <w:t xml:space="preserve">сегодняшнюю </w:t>
      </w:r>
      <w:r w:rsidRPr="00CD55C5">
        <w:rPr>
          <w:rFonts w:ascii="Arial" w:hAnsi="Arial" w:cs="Arial"/>
          <w:sz w:val="20"/>
          <w:szCs w:val="20"/>
        </w:rPr>
        <w:t xml:space="preserve">неопределенность на рынке, инвесторы считают выгодным </w:t>
      </w:r>
      <w:r w:rsidR="00143C71">
        <w:rPr>
          <w:rFonts w:ascii="Arial" w:hAnsi="Arial" w:cs="Arial"/>
          <w:sz w:val="20"/>
          <w:szCs w:val="20"/>
        </w:rPr>
        <w:t xml:space="preserve">вкладывать </w:t>
      </w:r>
      <w:r w:rsidRPr="00CD55C5">
        <w:rPr>
          <w:rFonts w:ascii="Arial" w:hAnsi="Arial" w:cs="Arial"/>
          <w:sz w:val="20"/>
          <w:szCs w:val="20"/>
        </w:rPr>
        <w:t>в рынок в низшей точке</w:t>
      </w:r>
      <w:r w:rsidR="00AF3126">
        <w:rPr>
          <w:rFonts w:ascii="Arial" w:hAnsi="Arial" w:cs="Arial"/>
          <w:sz w:val="20"/>
          <w:szCs w:val="20"/>
        </w:rPr>
        <w:t xml:space="preserve"> кризиса.</w:t>
      </w:r>
      <w:r w:rsidRPr="00CD55C5">
        <w:rPr>
          <w:rFonts w:ascii="Arial" w:hAnsi="Arial" w:cs="Arial"/>
          <w:sz w:val="20"/>
          <w:szCs w:val="20"/>
        </w:rPr>
        <w:t> </w:t>
      </w:r>
      <w:r w:rsidR="00143C71">
        <w:rPr>
          <w:rFonts w:ascii="Arial" w:hAnsi="Arial" w:cs="Arial"/>
          <w:sz w:val="20"/>
          <w:szCs w:val="20"/>
        </w:rPr>
        <w:t xml:space="preserve">По </w:t>
      </w:r>
      <w:r w:rsidR="00A217EA">
        <w:rPr>
          <w:rFonts w:ascii="Arial" w:hAnsi="Arial" w:cs="Arial"/>
          <w:sz w:val="20"/>
          <w:szCs w:val="20"/>
        </w:rPr>
        <w:t>анализу</w:t>
      </w:r>
      <w:r w:rsidR="00143C71">
        <w:rPr>
          <w:rFonts w:ascii="Arial" w:hAnsi="Arial" w:cs="Arial"/>
          <w:sz w:val="20"/>
          <w:szCs w:val="20"/>
        </w:rPr>
        <w:t xml:space="preserve"> всемирно известной </w:t>
      </w:r>
      <w:r w:rsidR="00143C71" w:rsidRPr="00143C71">
        <w:rPr>
          <w:rFonts w:ascii="Arial" w:hAnsi="Arial" w:cs="Arial"/>
          <w:sz w:val="20"/>
          <w:szCs w:val="20"/>
        </w:rPr>
        <w:t>международн</w:t>
      </w:r>
      <w:r w:rsidR="00143C71">
        <w:rPr>
          <w:rFonts w:ascii="Arial" w:hAnsi="Arial" w:cs="Arial"/>
          <w:sz w:val="20"/>
          <w:szCs w:val="20"/>
        </w:rPr>
        <w:t xml:space="preserve">ой </w:t>
      </w:r>
      <w:r w:rsidR="00143C71" w:rsidRPr="00143C71">
        <w:rPr>
          <w:rFonts w:ascii="Arial" w:hAnsi="Arial" w:cs="Arial"/>
          <w:sz w:val="20"/>
          <w:szCs w:val="20"/>
        </w:rPr>
        <w:t>консалтингов</w:t>
      </w:r>
      <w:r w:rsidR="00143C71">
        <w:rPr>
          <w:rFonts w:ascii="Arial" w:hAnsi="Arial" w:cs="Arial"/>
          <w:sz w:val="20"/>
          <w:szCs w:val="20"/>
        </w:rPr>
        <w:t>ой</w:t>
      </w:r>
      <w:r w:rsidR="00143C71" w:rsidRPr="00143C71">
        <w:rPr>
          <w:rFonts w:ascii="Arial" w:hAnsi="Arial" w:cs="Arial"/>
          <w:sz w:val="20"/>
          <w:szCs w:val="20"/>
        </w:rPr>
        <w:t xml:space="preserve"> компани</w:t>
      </w:r>
      <w:r w:rsidR="00143C71">
        <w:rPr>
          <w:rFonts w:ascii="Arial" w:hAnsi="Arial" w:cs="Arial"/>
          <w:sz w:val="20"/>
          <w:szCs w:val="20"/>
        </w:rPr>
        <w:t>и</w:t>
      </w:r>
      <w:r w:rsidR="00143C71" w:rsidRPr="00143C71">
        <w:rPr>
          <w:rFonts w:ascii="Arial" w:hAnsi="Arial" w:cs="Arial"/>
          <w:sz w:val="20"/>
          <w:szCs w:val="20"/>
        </w:rPr>
        <w:t xml:space="preserve"> в области недвижимости CBRE</w:t>
      </w:r>
      <w:r w:rsidR="00143C71">
        <w:rPr>
          <w:rFonts w:ascii="Arial" w:hAnsi="Arial" w:cs="Arial"/>
          <w:sz w:val="20"/>
          <w:szCs w:val="20"/>
        </w:rPr>
        <w:t>:</w:t>
      </w:r>
    </w:p>
    <w:p w:rsidR="00143C71" w:rsidRPr="00143C71" w:rsidRDefault="00143C71" w:rsidP="00143C71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CD55C5" w:rsidRPr="004B1153" w:rsidRDefault="00143C71" w:rsidP="00A217E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A391CED" wp14:editId="28BB3A0B">
            <wp:extent cx="3495350" cy="24477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747" t="40381" r="20798" b="6765"/>
                    <a:stretch/>
                  </pic:blipFill>
                  <pic:spPr bwMode="auto">
                    <a:xfrm>
                      <a:off x="0" y="0"/>
                      <a:ext cx="3496017" cy="244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EC6" w:rsidRPr="004B1153" w:rsidRDefault="00D91EC6" w:rsidP="00D91EC6">
      <w:pPr>
        <w:pStyle w:val="a3"/>
        <w:spacing w:before="0" w:beforeAutospacing="0" w:after="0" w:afterAutospacing="0"/>
        <w:ind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1EF2" w:rsidRPr="00CA274A" w:rsidRDefault="00C2138D" w:rsidP="00701EF2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A274A">
        <w:rPr>
          <w:rFonts w:ascii="Arial" w:hAnsi="Arial" w:cs="Arial"/>
          <w:b/>
          <w:bCs/>
          <w:sz w:val="20"/>
          <w:szCs w:val="20"/>
        </w:rPr>
        <w:t>Выводы и п</w:t>
      </w:r>
      <w:r w:rsidR="005652B3" w:rsidRPr="00CA274A">
        <w:rPr>
          <w:rFonts w:ascii="Arial" w:hAnsi="Arial" w:cs="Arial"/>
          <w:b/>
          <w:bCs/>
          <w:sz w:val="20"/>
          <w:szCs w:val="20"/>
        </w:rPr>
        <w:t>рогнозы</w:t>
      </w:r>
      <w:r w:rsidR="00701EF2" w:rsidRPr="00CA274A">
        <w:rPr>
          <w:rFonts w:ascii="Arial" w:hAnsi="Arial" w:cs="Arial"/>
          <w:b/>
          <w:bCs/>
          <w:sz w:val="20"/>
          <w:szCs w:val="20"/>
        </w:rPr>
        <w:t xml:space="preserve"> экономики </w:t>
      </w:r>
      <w:bookmarkStart w:id="1" w:name="_GoBack"/>
      <w:bookmarkEnd w:id="1"/>
      <w:r w:rsidR="006F4912">
        <w:rPr>
          <w:rFonts w:ascii="Arial" w:hAnsi="Arial" w:cs="Arial"/>
          <w:b/>
          <w:bCs/>
          <w:sz w:val="20"/>
          <w:szCs w:val="20"/>
        </w:rPr>
        <w:t>России</w:t>
      </w:r>
    </w:p>
    <w:p w:rsidR="00526439" w:rsidRDefault="00526439" w:rsidP="000B19F5">
      <w:pPr>
        <w:spacing w:after="0" w:line="240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:rsidR="00A85E8A" w:rsidRPr="00CA274A" w:rsidRDefault="00CA274A" w:rsidP="00CA274A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2014 году о</w:t>
      </w:r>
      <w:r w:rsidR="00A217EA">
        <w:rPr>
          <w:rFonts w:ascii="Arial" w:hAnsi="Arial" w:cs="Arial"/>
          <w:sz w:val="20"/>
          <w:szCs w:val="20"/>
        </w:rPr>
        <w:t>брушени</w:t>
      </w:r>
      <w:r w:rsidR="00C17F18">
        <w:rPr>
          <w:rFonts w:ascii="Arial" w:hAnsi="Arial" w:cs="Arial"/>
          <w:sz w:val="20"/>
          <w:szCs w:val="20"/>
        </w:rPr>
        <w:t>е</w:t>
      </w:r>
      <w:r w:rsidR="00A217EA">
        <w:rPr>
          <w:rFonts w:ascii="Arial" w:hAnsi="Arial" w:cs="Arial"/>
          <w:sz w:val="20"/>
          <w:szCs w:val="20"/>
        </w:rPr>
        <w:t xml:space="preserve"> </w:t>
      </w:r>
      <w:r w:rsidR="00C17F18">
        <w:rPr>
          <w:rFonts w:ascii="Arial" w:hAnsi="Arial" w:cs="Arial"/>
          <w:sz w:val="20"/>
          <w:szCs w:val="20"/>
        </w:rPr>
        <w:t>рынка нефти</w:t>
      </w:r>
      <w:r w:rsidR="00A217EA">
        <w:rPr>
          <w:rFonts w:ascii="Arial" w:hAnsi="Arial" w:cs="Arial"/>
          <w:sz w:val="20"/>
          <w:szCs w:val="20"/>
        </w:rPr>
        <w:t xml:space="preserve"> </w:t>
      </w:r>
      <w:r w:rsidR="000B19F5">
        <w:rPr>
          <w:rFonts w:ascii="Arial" w:hAnsi="Arial" w:cs="Arial"/>
          <w:sz w:val="20"/>
          <w:szCs w:val="20"/>
        </w:rPr>
        <w:t xml:space="preserve">и </w:t>
      </w:r>
      <w:r w:rsidR="00A217EA">
        <w:rPr>
          <w:rFonts w:ascii="Arial" w:hAnsi="Arial" w:cs="Arial"/>
          <w:sz w:val="20"/>
          <w:szCs w:val="20"/>
        </w:rPr>
        <w:t>санкци</w:t>
      </w:r>
      <w:r w:rsidR="00C17F18">
        <w:rPr>
          <w:rFonts w:ascii="Arial" w:hAnsi="Arial" w:cs="Arial"/>
          <w:sz w:val="20"/>
          <w:szCs w:val="20"/>
        </w:rPr>
        <w:t>и</w:t>
      </w:r>
      <w:r w:rsidR="00A217EA">
        <w:rPr>
          <w:rFonts w:ascii="Arial" w:hAnsi="Arial" w:cs="Arial"/>
          <w:sz w:val="20"/>
          <w:szCs w:val="20"/>
        </w:rPr>
        <w:t>, введенны</w:t>
      </w:r>
      <w:r w:rsidR="00C17F18">
        <w:rPr>
          <w:rFonts w:ascii="Arial" w:hAnsi="Arial" w:cs="Arial"/>
          <w:sz w:val="20"/>
          <w:szCs w:val="20"/>
        </w:rPr>
        <w:t>е</w:t>
      </w:r>
      <w:r w:rsidR="00A217EA">
        <w:rPr>
          <w:rFonts w:ascii="Arial" w:hAnsi="Arial" w:cs="Arial"/>
          <w:sz w:val="20"/>
          <w:szCs w:val="20"/>
        </w:rPr>
        <w:t xml:space="preserve"> США</w:t>
      </w:r>
      <w:r w:rsidR="00C17F18">
        <w:rPr>
          <w:rFonts w:ascii="Arial" w:hAnsi="Arial" w:cs="Arial"/>
          <w:sz w:val="20"/>
          <w:szCs w:val="20"/>
        </w:rPr>
        <w:t>, привели к</w:t>
      </w:r>
      <w:r w:rsidR="00A217EA">
        <w:rPr>
          <w:rFonts w:ascii="Arial" w:hAnsi="Arial" w:cs="Arial"/>
          <w:sz w:val="20"/>
          <w:szCs w:val="20"/>
        </w:rPr>
        <w:t xml:space="preserve"> </w:t>
      </w:r>
      <w:r w:rsidR="00C17F18">
        <w:rPr>
          <w:rFonts w:ascii="Arial" w:hAnsi="Arial" w:cs="Arial"/>
          <w:sz w:val="20"/>
          <w:szCs w:val="20"/>
        </w:rPr>
        <w:t xml:space="preserve">девальвации рубля и </w:t>
      </w:r>
      <w:r w:rsidR="005B4CC5">
        <w:rPr>
          <w:rFonts w:ascii="Arial" w:hAnsi="Arial" w:cs="Arial"/>
          <w:sz w:val="20"/>
          <w:szCs w:val="20"/>
        </w:rPr>
        <w:t>разрыв</w:t>
      </w:r>
      <w:r w:rsidR="00C17F18">
        <w:rPr>
          <w:rFonts w:ascii="Arial" w:hAnsi="Arial" w:cs="Arial"/>
          <w:sz w:val="20"/>
          <w:szCs w:val="20"/>
        </w:rPr>
        <w:t>у</w:t>
      </w:r>
      <w:r w:rsidR="005B4CC5">
        <w:rPr>
          <w:rFonts w:ascii="Arial" w:hAnsi="Arial" w:cs="Arial"/>
          <w:sz w:val="20"/>
          <w:szCs w:val="20"/>
        </w:rPr>
        <w:t xml:space="preserve"> экономических </w:t>
      </w:r>
      <w:r w:rsidR="000B19F5">
        <w:rPr>
          <w:rFonts w:ascii="Arial" w:hAnsi="Arial" w:cs="Arial"/>
          <w:sz w:val="20"/>
          <w:szCs w:val="20"/>
        </w:rPr>
        <w:t xml:space="preserve">и финансовых </w:t>
      </w:r>
      <w:r w:rsidR="00C17F18">
        <w:rPr>
          <w:rFonts w:ascii="Arial" w:hAnsi="Arial" w:cs="Arial"/>
          <w:sz w:val="20"/>
          <w:szCs w:val="20"/>
        </w:rPr>
        <w:t>связей</w:t>
      </w:r>
      <w:r w:rsidR="005B4CC5">
        <w:rPr>
          <w:rFonts w:ascii="Arial" w:hAnsi="Arial" w:cs="Arial"/>
          <w:sz w:val="20"/>
          <w:szCs w:val="20"/>
        </w:rPr>
        <w:t xml:space="preserve"> </w:t>
      </w:r>
      <w:r w:rsidR="000B19F5">
        <w:rPr>
          <w:rFonts w:ascii="Arial" w:hAnsi="Arial" w:cs="Arial"/>
          <w:sz w:val="20"/>
          <w:szCs w:val="20"/>
        </w:rPr>
        <w:t xml:space="preserve">с </w:t>
      </w:r>
      <w:r w:rsidR="00C17F18">
        <w:rPr>
          <w:rFonts w:ascii="Arial" w:hAnsi="Arial" w:cs="Arial"/>
          <w:sz w:val="20"/>
          <w:szCs w:val="20"/>
        </w:rPr>
        <w:t xml:space="preserve">некоторыми </w:t>
      </w:r>
      <w:r w:rsidR="000B19F5">
        <w:rPr>
          <w:rFonts w:ascii="Arial" w:hAnsi="Arial" w:cs="Arial"/>
          <w:sz w:val="20"/>
          <w:szCs w:val="20"/>
        </w:rPr>
        <w:t>международными</w:t>
      </w:r>
      <w:r w:rsidR="00E80BD1">
        <w:rPr>
          <w:rFonts w:ascii="Arial" w:hAnsi="Arial" w:cs="Arial"/>
          <w:sz w:val="20"/>
          <w:szCs w:val="20"/>
        </w:rPr>
        <w:t xml:space="preserve"> компаниями</w:t>
      </w:r>
      <w:r w:rsidR="00C17F18">
        <w:rPr>
          <w:rFonts w:ascii="Arial" w:hAnsi="Arial" w:cs="Arial"/>
          <w:sz w:val="20"/>
          <w:szCs w:val="20"/>
        </w:rPr>
        <w:t xml:space="preserve">, что </w:t>
      </w:r>
      <w:r w:rsidR="005B4CC5">
        <w:rPr>
          <w:rFonts w:ascii="Arial" w:hAnsi="Arial" w:cs="Arial"/>
          <w:sz w:val="20"/>
          <w:szCs w:val="20"/>
        </w:rPr>
        <w:t>отрицательно отразил</w:t>
      </w:r>
      <w:r w:rsidR="00C17F18">
        <w:rPr>
          <w:rFonts w:ascii="Arial" w:hAnsi="Arial" w:cs="Arial"/>
          <w:sz w:val="20"/>
          <w:szCs w:val="20"/>
        </w:rPr>
        <w:t>ось</w:t>
      </w:r>
      <w:r w:rsidR="005B4CC5">
        <w:rPr>
          <w:rFonts w:ascii="Arial" w:hAnsi="Arial" w:cs="Arial"/>
          <w:sz w:val="20"/>
          <w:szCs w:val="20"/>
        </w:rPr>
        <w:t xml:space="preserve"> на </w:t>
      </w:r>
      <w:r w:rsidR="00321682">
        <w:rPr>
          <w:rFonts w:ascii="Arial" w:hAnsi="Arial" w:cs="Arial"/>
          <w:sz w:val="20"/>
          <w:szCs w:val="20"/>
        </w:rPr>
        <w:t>российской экономик</w:t>
      </w:r>
      <w:r w:rsidR="00E80BD1">
        <w:rPr>
          <w:rFonts w:ascii="Arial" w:hAnsi="Arial" w:cs="Arial"/>
          <w:sz w:val="20"/>
          <w:szCs w:val="20"/>
        </w:rPr>
        <w:t>е</w:t>
      </w:r>
      <w:r w:rsidR="00D043D9">
        <w:rPr>
          <w:rFonts w:ascii="Arial" w:hAnsi="Arial" w:cs="Arial"/>
          <w:sz w:val="20"/>
          <w:szCs w:val="20"/>
        </w:rPr>
        <w:t xml:space="preserve">, </w:t>
      </w:r>
      <w:r w:rsidR="00701EF2">
        <w:rPr>
          <w:rFonts w:ascii="Arial" w:hAnsi="Arial" w:cs="Arial"/>
          <w:sz w:val="20"/>
          <w:szCs w:val="20"/>
        </w:rPr>
        <w:t xml:space="preserve">в существенной степени </w:t>
      </w:r>
      <w:r w:rsidR="00AE4F15">
        <w:rPr>
          <w:rFonts w:ascii="Arial" w:hAnsi="Arial" w:cs="Arial"/>
          <w:sz w:val="20"/>
          <w:szCs w:val="20"/>
        </w:rPr>
        <w:t>ориентированн</w:t>
      </w:r>
      <w:r w:rsidR="000B19F5">
        <w:rPr>
          <w:rFonts w:ascii="Arial" w:hAnsi="Arial" w:cs="Arial"/>
          <w:sz w:val="20"/>
          <w:szCs w:val="20"/>
        </w:rPr>
        <w:t>ой</w:t>
      </w:r>
      <w:r w:rsidR="00AE4F15">
        <w:rPr>
          <w:rFonts w:ascii="Arial" w:hAnsi="Arial" w:cs="Arial"/>
          <w:sz w:val="20"/>
          <w:szCs w:val="20"/>
        </w:rPr>
        <w:t xml:space="preserve"> </w:t>
      </w:r>
      <w:r w:rsidR="00C17F18">
        <w:rPr>
          <w:rFonts w:ascii="Arial" w:hAnsi="Arial" w:cs="Arial"/>
          <w:sz w:val="20"/>
          <w:szCs w:val="20"/>
        </w:rPr>
        <w:t xml:space="preserve">на экспорт энергоносителей и </w:t>
      </w:r>
      <w:r w:rsidR="00AE4F15">
        <w:rPr>
          <w:rFonts w:ascii="Arial" w:hAnsi="Arial" w:cs="Arial"/>
          <w:sz w:val="20"/>
          <w:szCs w:val="20"/>
        </w:rPr>
        <w:t>на</w:t>
      </w:r>
      <w:r w:rsidR="003C3731">
        <w:rPr>
          <w:rFonts w:ascii="Arial" w:hAnsi="Arial" w:cs="Arial"/>
          <w:sz w:val="20"/>
          <w:szCs w:val="20"/>
        </w:rPr>
        <w:t xml:space="preserve"> </w:t>
      </w:r>
      <w:r w:rsidR="00C17F18">
        <w:rPr>
          <w:rFonts w:ascii="Arial" w:hAnsi="Arial" w:cs="Arial"/>
          <w:sz w:val="20"/>
          <w:szCs w:val="20"/>
        </w:rPr>
        <w:t>иностранные инвестиции.</w:t>
      </w:r>
      <w:r w:rsidR="00701EF2">
        <w:rPr>
          <w:rFonts w:ascii="Arial" w:hAnsi="Arial" w:cs="Arial"/>
          <w:sz w:val="20"/>
          <w:szCs w:val="20"/>
        </w:rPr>
        <w:t xml:space="preserve"> Это </w:t>
      </w:r>
      <w:r w:rsidR="0049770C">
        <w:rPr>
          <w:rFonts w:ascii="Arial" w:hAnsi="Arial" w:cs="Arial"/>
          <w:sz w:val="20"/>
          <w:szCs w:val="20"/>
        </w:rPr>
        <w:t xml:space="preserve">привело к </w:t>
      </w:r>
      <w:r w:rsidR="00EA4CAD">
        <w:rPr>
          <w:rFonts w:ascii="Arial" w:hAnsi="Arial" w:cs="Arial"/>
          <w:sz w:val="20"/>
          <w:szCs w:val="20"/>
        </w:rPr>
        <w:t>дефицит</w:t>
      </w:r>
      <w:r w:rsidR="0049770C">
        <w:rPr>
          <w:rFonts w:ascii="Arial" w:hAnsi="Arial" w:cs="Arial"/>
          <w:sz w:val="20"/>
          <w:szCs w:val="20"/>
        </w:rPr>
        <w:t>у</w:t>
      </w:r>
      <w:r w:rsidR="00EA4CAD">
        <w:rPr>
          <w:rFonts w:ascii="Arial" w:hAnsi="Arial" w:cs="Arial"/>
          <w:sz w:val="20"/>
          <w:szCs w:val="20"/>
        </w:rPr>
        <w:t xml:space="preserve"> бюджета</w:t>
      </w:r>
      <w:r w:rsidR="00701EF2">
        <w:rPr>
          <w:rFonts w:ascii="Arial" w:hAnsi="Arial" w:cs="Arial"/>
          <w:sz w:val="20"/>
          <w:szCs w:val="20"/>
        </w:rPr>
        <w:t>,</w:t>
      </w:r>
      <w:r w:rsidR="00EA4CAD">
        <w:rPr>
          <w:rFonts w:ascii="Arial" w:hAnsi="Arial" w:cs="Arial"/>
          <w:sz w:val="20"/>
          <w:szCs w:val="20"/>
        </w:rPr>
        <w:t xml:space="preserve"> </w:t>
      </w:r>
      <w:r w:rsidR="00701EF2">
        <w:rPr>
          <w:rFonts w:ascii="Arial" w:hAnsi="Arial" w:cs="Arial"/>
          <w:sz w:val="20"/>
          <w:szCs w:val="20"/>
        </w:rPr>
        <w:t>сокращени</w:t>
      </w:r>
      <w:r w:rsidR="0049770C">
        <w:rPr>
          <w:rFonts w:ascii="Arial" w:hAnsi="Arial" w:cs="Arial"/>
          <w:sz w:val="20"/>
          <w:szCs w:val="20"/>
        </w:rPr>
        <w:t>ю</w:t>
      </w:r>
      <w:r w:rsidR="00701EF2">
        <w:rPr>
          <w:rFonts w:ascii="Arial" w:hAnsi="Arial" w:cs="Arial"/>
          <w:sz w:val="20"/>
          <w:szCs w:val="20"/>
        </w:rPr>
        <w:t xml:space="preserve"> госпрограмм</w:t>
      </w:r>
      <w:r w:rsidR="0049770C">
        <w:rPr>
          <w:rFonts w:ascii="Arial" w:hAnsi="Arial" w:cs="Arial"/>
          <w:sz w:val="20"/>
          <w:szCs w:val="20"/>
        </w:rPr>
        <w:t xml:space="preserve"> и</w:t>
      </w:r>
      <w:r w:rsidR="0049770C" w:rsidRPr="0049770C">
        <w:rPr>
          <w:rFonts w:ascii="Arial" w:hAnsi="Arial" w:cs="Arial"/>
          <w:sz w:val="20"/>
          <w:szCs w:val="20"/>
        </w:rPr>
        <w:t xml:space="preserve"> </w:t>
      </w:r>
      <w:r w:rsidR="0049770C">
        <w:rPr>
          <w:rFonts w:ascii="Arial" w:hAnsi="Arial" w:cs="Arial"/>
          <w:sz w:val="20"/>
          <w:szCs w:val="20"/>
        </w:rPr>
        <w:t>социальных расходов</w:t>
      </w:r>
      <w:r w:rsidR="00FC3E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снижени</w:t>
      </w:r>
      <w:r w:rsidR="0049770C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 </w:t>
      </w:r>
      <w:r w:rsidR="0049770C">
        <w:rPr>
          <w:rFonts w:ascii="Arial" w:hAnsi="Arial" w:cs="Arial"/>
          <w:sz w:val="20"/>
          <w:szCs w:val="20"/>
        </w:rPr>
        <w:t xml:space="preserve">доходов и </w:t>
      </w:r>
      <w:r>
        <w:rPr>
          <w:rFonts w:ascii="Arial" w:hAnsi="Arial" w:cs="Arial"/>
          <w:sz w:val="20"/>
          <w:szCs w:val="20"/>
        </w:rPr>
        <w:t>инвестиционной активности</w:t>
      </w:r>
      <w:r w:rsidR="004977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F1B9D">
        <w:rPr>
          <w:rFonts w:ascii="Arial" w:hAnsi="Arial" w:cs="Arial"/>
          <w:sz w:val="20"/>
          <w:szCs w:val="20"/>
        </w:rPr>
        <w:t>снижени</w:t>
      </w:r>
      <w:r w:rsidR="0049770C">
        <w:rPr>
          <w:rFonts w:ascii="Arial" w:hAnsi="Arial" w:cs="Arial"/>
          <w:sz w:val="20"/>
          <w:szCs w:val="20"/>
        </w:rPr>
        <w:t>ю</w:t>
      </w:r>
      <w:r w:rsidR="00FF1B9D">
        <w:rPr>
          <w:rFonts w:ascii="Arial" w:hAnsi="Arial" w:cs="Arial"/>
          <w:sz w:val="20"/>
          <w:szCs w:val="20"/>
        </w:rPr>
        <w:t xml:space="preserve"> потребительского спроса</w:t>
      </w:r>
      <w:r w:rsidR="0049770C">
        <w:rPr>
          <w:rFonts w:ascii="Arial" w:hAnsi="Arial" w:cs="Arial"/>
          <w:sz w:val="20"/>
          <w:szCs w:val="20"/>
        </w:rPr>
        <w:t xml:space="preserve"> и к </w:t>
      </w:r>
      <w:r w:rsidR="00FC3E49">
        <w:rPr>
          <w:rFonts w:ascii="Arial" w:hAnsi="Arial" w:cs="Arial"/>
          <w:sz w:val="20"/>
          <w:szCs w:val="20"/>
        </w:rPr>
        <w:t>высок</w:t>
      </w:r>
      <w:r w:rsidR="0049770C">
        <w:rPr>
          <w:rFonts w:ascii="Arial" w:hAnsi="Arial" w:cs="Arial"/>
          <w:sz w:val="20"/>
          <w:szCs w:val="20"/>
        </w:rPr>
        <w:t>ой</w:t>
      </w:r>
      <w:r w:rsidR="00FF1B9D">
        <w:rPr>
          <w:rFonts w:ascii="Arial" w:hAnsi="Arial" w:cs="Arial"/>
          <w:sz w:val="20"/>
          <w:szCs w:val="20"/>
        </w:rPr>
        <w:t xml:space="preserve"> инфляци</w:t>
      </w:r>
      <w:r w:rsidR="0049770C">
        <w:rPr>
          <w:rFonts w:ascii="Arial" w:hAnsi="Arial" w:cs="Arial"/>
          <w:sz w:val="20"/>
          <w:szCs w:val="20"/>
        </w:rPr>
        <w:t xml:space="preserve">и, обусловив </w:t>
      </w:r>
      <w:r w:rsidR="00A4332A">
        <w:rPr>
          <w:rFonts w:ascii="Arial" w:hAnsi="Arial" w:cs="Arial"/>
          <w:bCs/>
          <w:sz w:val="20"/>
          <w:szCs w:val="20"/>
        </w:rPr>
        <w:t>спад</w:t>
      </w:r>
      <w:r w:rsidR="00216506">
        <w:rPr>
          <w:rFonts w:ascii="Arial" w:hAnsi="Arial" w:cs="Arial"/>
          <w:bCs/>
          <w:sz w:val="20"/>
          <w:szCs w:val="20"/>
        </w:rPr>
        <w:t xml:space="preserve"> в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 </w:t>
      </w:r>
      <w:r w:rsidR="0049770C">
        <w:rPr>
          <w:rFonts w:ascii="Arial" w:hAnsi="Arial" w:cs="Arial"/>
          <w:bCs/>
          <w:sz w:val="20"/>
          <w:szCs w:val="20"/>
        </w:rPr>
        <w:t>некоторых отраслях</w:t>
      </w:r>
      <w:r w:rsidR="00216506">
        <w:rPr>
          <w:rFonts w:ascii="Arial" w:hAnsi="Arial" w:cs="Arial"/>
          <w:bCs/>
          <w:sz w:val="20"/>
          <w:szCs w:val="20"/>
        </w:rPr>
        <w:t xml:space="preserve"> промышленности, в </w:t>
      </w:r>
      <w:r w:rsidR="008D63DD" w:rsidRPr="008D63DD">
        <w:rPr>
          <w:rFonts w:ascii="Arial" w:hAnsi="Arial" w:cs="Arial"/>
          <w:bCs/>
          <w:sz w:val="20"/>
          <w:szCs w:val="20"/>
        </w:rPr>
        <w:t>строительстве</w:t>
      </w:r>
      <w:r w:rsidR="009F349D">
        <w:rPr>
          <w:rFonts w:ascii="Arial" w:hAnsi="Arial" w:cs="Arial"/>
          <w:bCs/>
          <w:sz w:val="20"/>
          <w:szCs w:val="20"/>
        </w:rPr>
        <w:t xml:space="preserve"> и производстве основных строительных материалов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, </w:t>
      </w:r>
      <w:r w:rsidR="00216506">
        <w:rPr>
          <w:rFonts w:ascii="Arial" w:hAnsi="Arial" w:cs="Arial"/>
          <w:bCs/>
          <w:sz w:val="20"/>
          <w:szCs w:val="20"/>
        </w:rPr>
        <w:t>в</w:t>
      </w:r>
      <w:r w:rsidR="00A45088">
        <w:rPr>
          <w:rFonts w:ascii="Arial" w:hAnsi="Arial" w:cs="Arial"/>
          <w:bCs/>
          <w:sz w:val="20"/>
          <w:szCs w:val="20"/>
        </w:rPr>
        <w:t xml:space="preserve"> </w:t>
      </w:r>
      <w:r w:rsidR="008D63DD" w:rsidRPr="008D63DD">
        <w:rPr>
          <w:rFonts w:ascii="Arial" w:hAnsi="Arial" w:cs="Arial"/>
          <w:bCs/>
          <w:sz w:val="20"/>
          <w:szCs w:val="20"/>
        </w:rPr>
        <w:t>розничной торговл</w:t>
      </w:r>
      <w:r w:rsidR="00216506">
        <w:rPr>
          <w:rFonts w:ascii="Arial" w:hAnsi="Arial" w:cs="Arial"/>
          <w:bCs/>
          <w:sz w:val="20"/>
          <w:szCs w:val="20"/>
        </w:rPr>
        <w:t>е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 и </w:t>
      </w:r>
      <w:r w:rsidR="00216506">
        <w:rPr>
          <w:rFonts w:ascii="Arial" w:hAnsi="Arial" w:cs="Arial"/>
          <w:bCs/>
          <w:sz w:val="20"/>
          <w:szCs w:val="20"/>
        </w:rPr>
        <w:t xml:space="preserve">в </w:t>
      </w:r>
      <w:r w:rsidR="008D63DD" w:rsidRPr="008D63DD">
        <w:rPr>
          <w:rFonts w:ascii="Arial" w:hAnsi="Arial" w:cs="Arial"/>
          <w:bCs/>
          <w:sz w:val="20"/>
          <w:szCs w:val="20"/>
        </w:rPr>
        <w:t>платных услуг</w:t>
      </w:r>
      <w:r w:rsidR="00216506">
        <w:rPr>
          <w:rFonts w:ascii="Arial" w:hAnsi="Arial" w:cs="Arial"/>
          <w:bCs/>
          <w:sz w:val="20"/>
          <w:szCs w:val="20"/>
        </w:rPr>
        <w:t>ах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 населению. </w:t>
      </w:r>
      <w:r w:rsidR="00216506">
        <w:rPr>
          <w:rFonts w:ascii="Arial" w:hAnsi="Arial" w:cs="Arial"/>
          <w:bCs/>
          <w:sz w:val="20"/>
          <w:szCs w:val="20"/>
        </w:rPr>
        <w:t xml:space="preserve"> </w:t>
      </w:r>
    </w:p>
    <w:p w:rsidR="00C00C6E" w:rsidRDefault="00CC2B6A" w:rsidP="00A85E8A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этих условиях частичный уход с отечественного рынка иностранных компаний</w:t>
      </w:r>
      <w:r w:rsidRPr="00CC2B6A">
        <w:rPr>
          <w:rFonts w:ascii="Arial" w:hAnsi="Arial" w:cs="Arial"/>
          <w:sz w:val="20"/>
          <w:szCs w:val="20"/>
        </w:rPr>
        <w:t xml:space="preserve"> </w:t>
      </w:r>
      <w:r w:rsidR="0049770C">
        <w:rPr>
          <w:rFonts w:ascii="Arial" w:hAnsi="Arial" w:cs="Arial"/>
          <w:sz w:val="20"/>
          <w:szCs w:val="20"/>
        </w:rPr>
        <w:t>и импортных товаров сыграли</w:t>
      </w:r>
      <w:r>
        <w:rPr>
          <w:rFonts w:ascii="Arial" w:hAnsi="Arial" w:cs="Arial"/>
          <w:sz w:val="20"/>
          <w:szCs w:val="20"/>
        </w:rPr>
        <w:t xml:space="preserve"> положительную роль: </w:t>
      </w:r>
      <w:r w:rsidRPr="004B1153">
        <w:rPr>
          <w:rFonts w:ascii="Arial" w:hAnsi="Arial" w:cs="Arial"/>
          <w:sz w:val="20"/>
          <w:szCs w:val="20"/>
        </w:rPr>
        <w:t xml:space="preserve">у российских предприятий </w:t>
      </w:r>
      <w:r>
        <w:rPr>
          <w:rFonts w:ascii="Arial" w:hAnsi="Arial" w:cs="Arial"/>
          <w:sz w:val="20"/>
          <w:szCs w:val="20"/>
        </w:rPr>
        <w:t xml:space="preserve">реального сектора </w:t>
      </w:r>
      <w:r w:rsidRPr="004B1153">
        <w:rPr>
          <w:rFonts w:ascii="Arial" w:hAnsi="Arial" w:cs="Arial"/>
          <w:sz w:val="20"/>
          <w:szCs w:val="20"/>
        </w:rPr>
        <w:t>появились возможности для увеличения своей доли на внутреннем рынке и увеличения выпуска продукции.</w:t>
      </w:r>
      <w:r w:rsidR="0049770C">
        <w:rPr>
          <w:rFonts w:ascii="Arial" w:hAnsi="Arial" w:cs="Arial"/>
          <w:sz w:val="20"/>
          <w:szCs w:val="20"/>
        </w:rPr>
        <w:t xml:space="preserve"> </w:t>
      </w:r>
      <w:r w:rsidR="00FF34ED">
        <w:rPr>
          <w:rFonts w:ascii="Arial" w:hAnsi="Arial" w:cs="Arial"/>
          <w:bCs/>
          <w:sz w:val="20"/>
          <w:szCs w:val="20"/>
        </w:rPr>
        <w:t>Девальвация</w:t>
      </w:r>
      <w:r w:rsidR="000C034A">
        <w:rPr>
          <w:rFonts w:ascii="Arial" w:hAnsi="Arial" w:cs="Arial"/>
          <w:bCs/>
          <w:sz w:val="20"/>
          <w:szCs w:val="20"/>
        </w:rPr>
        <w:t xml:space="preserve"> рубля </w:t>
      </w:r>
      <w:r w:rsidR="003B1CE8">
        <w:rPr>
          <w:rFonts w:ascii="Arial" w:hAnsi="Arial" w:cs="Arial"/>
          <w:bCs/>
          <w:sz w:val="20"/>
          <w:szCs w:val="20"/>
        </w:rPr>
        <w:t>стимулиру</w:t>
      </w:r>
      <w:r w:rsidR="00FF34ED">
        <w:rPr>
          <w:rFonts w:ascii="Arial" w:hAnsi="Arial" w:cs="Arial"/>
          <w:bCs/>
          <w:sz w:val="20"/>
          <w:szCs w:val="20"/>
        </w:rPr>
        <w:t>ет</w:t>
      </w:r>
      <w:r w:rsidR="000C034A">
        <w:rPr>
          <w:rFonts w:ascii="Arial" w:hAnsi="Arial" w:cs="Arial"/>
          <w:bCs/>
          <w:sz w:val="20"/>
          <w:szCs w:val="20"/>
        </w:rPr>
        <w:t xml:space="preserve"> отечественно</w:t>
      </w:r>
      <w:r w:rsidR="003B1CE8">
        <w:rPr>
          <w:rFonts w:ascii="Arial" w:hAnsi="Arial" w:cs="Arial"/>
          <w:bCs/>
          <w:sz w:val="20"/>
          <w:szCs w:val="20"/>
        </w:rPr>
        <w:t>е производство</w:t>
      </w:r>
      <w:r w:rsidR="009F349D">
        <w:rPr>
          <w:rFonts w:ascii="Arial" w:hAnsi="Arial" w:cs="Arial"/>
          <w:bCs/>
          <w:sz w:val="20"/>
          <w:szCs w:val="20"/>
        </w:rPr>
        <w:t xml:space="preserve"> и экспорт</w:t>
      </w:r>
      <w:r w:rsidR="00FF34ED">
        <w:rPr>
          <w:rFonts w:ascii="Arial" w:hAnsi="Arial" w:cs="Arial"/>
          <w:bCs/>
          <w:sz w:val="20"/>
          <w:szCs w:val="20"/>
        </w:rPr>
        <w:t xml:space="preserve"> и </w:t>
      </w:r>
      <w:r>
        <w:rPr>
          <w:rFonts w:ascii="Arial" w:hAnsi="Arial" w:cs="Arial"/>
          <w:bCs/>
          <w:sz w:val="20"/>
          <w:szCs w:val="20"/>
        </w:rPr>
        <w:t>дает</w:t>
      </w:r>
      <w:r w:rsidR="009F349D">
        <w:rPr>
          <w:rFonts w:ascii="Arial" w:hAnsi="Arial" w:cs="Arial"/>
          <w:bCs/>
          <w:sz w:val="20"/>
          <w:szCs w:val="20"/>
        </w:rPr>
        <w:t xml:space="preserve"> </w:t>
      </w:r>
      <w:r w:rsidR="00986631">
        <w:rPr>
          <w:rFonts w:ascii="Arial" w:hAnsi="Arial" w:cs="Arial"/>
          <w:bCs/>
          <w:sz w:val="20"/>
          <w:szCs w:val="20"/>
        </w:rPr>
        <w:t>хороши</w:t>
      </w:r>
      <w:r>
        <w:rPr>
          <w:rFonts w:ascii="Arial" w:hAnsi="Arial" w:cs="Arial"/>
          <w:bCs/>
          <w:sz w:val="20"/>
          <w:szCs w:val="20"/>
        </w:rPr>
        <w:t>й</w:t>
      </w:r>
      <w:r w:rsidR="000948F3">
        <w:rPr>
          <w:rFonts w:ascii="Arial" w:hAnsi="Arial" w:cs="Arial"/>
          <w:bCs/>
          <w:sz w:val="20"/>
          <w:szCs w:val="20"/>
        </w:rPr>
        <w:t xml:space="preserve"> шанс для улучшения</w:t>
      </w:r>
      <w:r w:rsidR="00986631">
        <w:rPr>
          <w:rFonts w:ascii="Arial" w:hAnsi="Arial" w:cs="Arial"/>
          <w:bCs/>
          <w:sz w:val="20"/>
          <w:szCs w:val="20"/>
        </w:rPr>
        <w:t xml:space="preserve"> отраслевой структуры, для развития мелкого и среднего производства, для </w:t>
      </w:r>
      <w:r w:rsidR="00FF34ED">
        <w:rPr>
          <w:rFonts w:ascii="Arial" w:hAnsi="Arial" w:cs="Arial"/>
          <w:bCs/>
          <w:sz w:val="20"/>
          <w:szCs w:val="20"/>
        </w:rPr>
        <w:t>импортозамещения</w:t>
      </w:r>
      <w:r w:rsidR="00986631">
        <w:rPr>
          <w:rFonts w:ascii="Arial" w:hAnsi="Arial" w:cs="Arial"/>
          <w:bCs/>
          <w:sz w:val="20"/>
          <w:szCs w:val="20"/>
        </w:rPr>
        <w:t>.</w:t>
      </w:r>
      <w:r w:rsidR="000C034A">
        <w:rPr>
          <w:rFonts w:ascii="Arial" w:hAnsi="Arial" w:cs="Arial"/>
          <w:bCs/>
          <w:sz w:val="20"/>
          <w:szCs w:val="20"/>
        </w:rPr>
        <w:t xml:space="preserve"> </w:t>
      </w:r>
      <w:r w:rsidR="00835711">
        <w:rPr>
          <w:rFonts w:ascii="Arial" w:hAnsi="Arial" w:cs="Arial"/>
          <w:bCs/>
          <w:sz w:val="20"/>
          <w:szCs w:val="20"/>
        </w:rPr>
        <w:t>Сельское хозяйство</w:t>
      </w:r>
      <w:r w:rsidR="000C034A">
        <w:rPr>
          <w:rFonts w:ascii="Arial" w:hAnsi="Arial" w:cs="Arial"/>
          <w:bCs/>
          <w:sz w:val="20"/>
          <w:szCs w:val="20"/>
        </w:rPr>
        <w:t>,</w:t>
      </w:r>
      <w:r w:rsidR="00835711">
        <w:rPr>
          <w:rFonts w:ascii="Arial" w:hAnsi="Arial" w:cs="Arial"/>
          <w:bCs/>
          <w:sz w:val="20"/>
          <w:szCs w:val="20"/>
        </w:rPr>
        <w:t xml:space="preserve"> сельхозпереработка </w:t>
      </w:r>
      <w:r w:rsidR="000C034A">
        <w:rPr>
          <w:rFonts w:ascii="Arial" w:hAnsi="Arial" w:cs="Arial"/>
          <w:bCs/>
          <w:sz w:val="20"/>
          <w:szCs w:val="20"/>
        </w:rPr>
        <w:t xml:space="preserve">и производство сельхозмашин и оборудования </w:t>
      </w:r>
      <w:r>
        <w:rPr>
          <w:rFonts w:ascii="Arial" w:hAnsi="Arial" w:cs="Arial"/>
          <w:bCs/>
          <w:sz w:val="20"/>
          <w:szCs w:val="20"/>
        </w:rPr>
        <w:t>показ</w:t>
      </w:r>
      <w:r w:rsidR="00FF2F10">
        <w:rPr>
          <w:rFonts w:ascii="Arial" w:hAnsi="Arial" w:cs="Arial"/>
          <w:bCs/>
          <w:sz w:val="20"/>
          <w:szCs w:val="20"/>
        </w:rPr>
        <w:t>ывают</w:t>
      </w:r>
      <w:r>
        <w:rPr>
          <w:rFonts w:ascii="Arial" w:hAnsi="Arial" w:cs="Arial"/>
          <w:bCs/>
          <w:sz w:val="20"/>
          <w:szCs w:val="20"/>
        </w:rPr>
        <w:t xml:space="preserve"> отличные результаты роста</w:t>
      </w:r>
      <w:r w:rsidR="009B1D25">
        <w:rPr>
          <w:rFonts w:ascii="Arial" w:hAnsi="Arial" w:cs="Arial"/>
          <w:bCs/>
          <w:sz w:val="20"/>
          <w:szCs w:val="20"/>
        </w:rPr>
        <w:t>.</w:t>
      </w:r>
      <w:r w:rsidR="00835711">
        <w:rPr>
          <w:rFonts w:ascii="Arial" w:hAnsi="Arial" w:cs="Arial"/>
          <w:bCs/>
          <w:sz w:val="20"/>
          <w:szCs w:val="20"/>
        </w:rPr>
        <w:t xml:space="preserve"> </w:t>
      </w:r>
      <w:r w:rsidR="00B86A39">
        <w:rPr>
          <w:rFonts w:ascii="Arial" w:hAnsi="Arial" w:cs="Arial"/>
          <w:bCs/>
          <w:sz w:val="20"/>
          <w:szCs w:val="20"/>
        </w:rPr>
        <w:t>Отмечен</w:t>
      </w:r>
      <w:r>
        <w:rPr>
          <w:rFonts w:ascii="Arial" w:hAnsi="Arial" w:cs="Arial"/>
          <w:bCs/>
          <w:sz w:val="20"/>
          <w:szCs w:val="20"/>
        </w:rPr>
        <w:t xml:space="preserve"> значительный рост производства в пищевой и легкой промышленности, </w:t>
      </w:r>
      <w:r w:rsidR="00B86A39">
        <w:rPr>
          <w:rFonts w:ascii="Arial" w:hAnsi="Arial" w:cs="Arial"/>
          <w:bCs/>
          <w:sz w:val="20"/>
          <w:szCs w:val="20"/>
        </w:rPr>
        <w:t>рост производства</w:t>
      </w:r>
      <w:r w:rsidR="00FF2F10">
        <w:rPr>
          <w:rFonts w:ascii="Arial" w:hAnsi="Arial" w:cs="Arial"/>
          <w:bCs/>
          <w:sz w:val="20"/>
          <w:szCs w:val="20"/>
        </w:rPr>
        <w:t xml:space="preserve"> </w:t>
      </w:r>
      <w:r w:rsidR="00733037">
        <w:rPr>
          <w:rFonts w:ascii="Arial" w:hAnsi="Arial" w:cs="Arial"/>
          <w:bCs/>
          <w:sz w:val="20"/>
          <w:szCs w:val="20"/>
        </w:rPr>
        <w:t xml:space="preserve">автобусов, </w:t>
      </w:r>
      <w:r w:rsidR="00FF2F10">
        <w:rPr>
          <w:rFonts w:ascii="Arial" w:hAnsi="Arial" w:cs="Arial"/>
          <w:bCs/>
          <w:sz w:val="20"/>
          <w:szCs w:val="20"/>
        </w:rPr>
        <w:t>грузового транспорта и прицепов</w:t>
      </w:r>
      <w:r w:rsidR="00C42B74">
        <w:rPr>
          <w:rFonts w:ascii="Arial" w:hAnsi="Arial" w:cs="Arial"/>
          <w:bCs/>
          <w:sz w:val="20"/>
          <w:szCs w:val="20"/>
        </w:rPr>
        <w:t xml:space="preserve">, </w:t>
      </w:r>
      <w:r w:rsidR="00D6618D">
        <w:rPr>
          <w:rFonts w:ascii="Arial" w:hAnsi="Arial" w:cs="Arial"/>
          <w:bCs/>
          <w:sz w:val="20"/>
          <w:szCs w:val="20"/>
        </w:rPr>
        <w:t>производств</w:t>
      </w:r>
      <w:r w:rsidR="00B86A39">
        <w:rPr>
          <w:rFonts w:ascii="Arial" w:hAnsi="Arial" w:cs="Arial"/>
          <w:bCs/>
          <w:sz w:val="20"/>
          <w:szCs w:val="20"/>
        </w:rPr>
        <w:t>а</w:t>
      </w:r>
      <w:r w:rsidR="00D6618D">
        <w:rPr>
          <w:rFonts w:ascii="Arial" w:hAnsi="Arial" w:cs="Arial"/>
          <w:bCs/>
          <w:sz w:val="20"/>
          <w:szCs w:val="20"/>
        </w:rPr>
        <w:t xml:space="preserve"> машин и оборудования, металлорежущих станков, турбин, строительных кранов и подъемно-транспортного оборудования, </w:t>
      </w:r>
      <w:r w:rsidR="00B86A39">
        <w:rPr>
          <w:rFonts w:ascii="Arial" w:hAnsi="Arial" w:cs="Arial"/>
          <w:bCs/>
          <w:sz w:val="20"/>
          <w:szCs w:val="20"/>
        </w:rPr>
        <w:t xml:space="preserve">рост производства </w:t>
      </w:r>
      <w:r w:rsidR="00B86A39" w:rsidRPr="00B86A39">
        <w:rPr>
          <w:rFonts w:ascii="Arial" w:hAnsi="Arial" w:cs="Arial"/>
          <w:bCs/>
          <w:sz w:val="20"/>
          <w:szCs w:val="20"/>
        </w:rPr>
        <w:t>машин и оборудования для металлургии</w:t>
      </w:r>
      <w:r w:rsidR="00B86A39">
        <w:rPr>
          <w:rFonts w:ascii="Arial" w:hAnsi="Arial" w:cs="Arial"/>
          <w:bCs/>
          <w:sz w:val="20"/>
          <w:szCs w:val="20"/>
        </w:rPr>
        <w:t xml:space="preserve">, </w:t>
      </w:r>
      <w:r w:rsidR="00C42B74">
        <w:rPr>
          <w:rFonts w:ascii="Arial" w:hAnsi="Arial" w:cs="Arial"/>
          <w:bCs/>
          <w:sz w:val="20"/>
          <w:szCs w:val="20"/>
        </w:rPr>
        <w:t>производ</w:t>
      </w:r>
      <w:r w:rsidR="00733037">
        <w:rPr>
          <w:rFonts w:ascii="Arial" w:hAnsi="Arial" w:cs="Arial"/>
          <w:bCs/>
          <w:sz w:val="20"/>
          <w:szCs w:val="20"/>
        </w:rPr>
        <w:t>ств</w:t>
      </w:r>
      <w:r w:rsidR="00B86A39">
        <w:rPr>
          <w:rFonts w:ascii="Arial" w:hAnsi="Arial" w:cs="Arial"/>
          <w:bCs/>
          <w:sz w:val="20"/>
          <w:szCs w:val="20"/>
        </w:rPr>
        <w:t>а</w:t>
      </w:r>
      <w:r w:rsidR="00733037">
        <w:rPr>
          <w:rFonts w:ascii="Arial" w:hAnsi="Arial" w:cs="Arial"/>
          <w:bCs/>
          <w:sz w:val="20"/>
          <w:szCs w:val="20"/>
        </w:rPr>
        <w:t xml:space="preserve"> </w:t>
      </w:r>
      <w:r w:rsidR="00FF34ED">
        <w:rPr>
          <w:rFonts w:ascii="Arial" w:hAnsi="Arial" w:cs="Arial"/>
          <w:bCs/>
          <w:sz w:val="20"/>
          <w:szCs w:val="20"/>
        </w:rPr>
        <w:t>отделочных</w:t>
      </w:r>
      <w:r w:rsidR="00733037">
        <w:rPr>
          <w:rFonts w:ascii="Arial" w:hAnsi="Arial" w:cs="Arial"/>
          <w:bCs/>
          <w:sz w:val="20"/>
          <w:szCs w:val="20"/>
        </w:rPr>
        <w:t xml:space="preserve"> стройматериалов</w:t>
      </w:r>
      <w:r w:rsidR="00D6618D">
        <w:rPr>
          <w:rFonts w:ascii="Arial" w:hAnsi="Arial" w:cs="Arial"/>
          <w:bCs/>
          <w:sz w:val="20"/>
          <w:szCs w:val="20"/>
        </w:rPr>
        <w:t xml:space="preserve"> и металлических строительных конструкций</w:t>
      </w:r>
      <w:r w:rsidR="00733037">
        <w:rPr>
          <w:rFonts w:ascii="Arial" w:hAnsi="Arial" w:cs="Arial"/>
          <w:bCs/>
          <w:sz w:val="20"/>
          <w:szCs w:val="20"/>
        </w:rPr>
        <w:t xml:space="preserve">, </w:t>
      </w:r>
      <w:r w:rsidR="00D6618D">
        <w:rPr>
          <w:rFonts w:ascii="Arial" w:hAnsi="Arial" w:cs="Arial"/>
          <w:bCs/>
          <w:sz w:val="20"/>
          <w:szCs w:val="20"/>
        </w:rPr>
        <w:t>производств</w:t>
      </w:r>
      <w:r w:rsidR="00B86A39">
        <w:rPr>
          <w:rFonts w:ascii="Arial" w:hAnsi="Arial" w:cs="Arial"/>
          <w:bCs/>
          <w:sz w:val="20"/>
          <w:szCs w:val="20"/>
        </w:rPr>
        <w:t xml:space="preserve">а </w:t>
      </w:r>
      <w:r w:rsidR="00D6618D">
        <w:rPr>
          <w:rFonts w:ascii="Arial" w:hAnsi="Arial" w:cs="Arial"/>
          <w:bCs/>
          <w:sz w:val="20"/>
          <w:szCs w:val="20"/>
        </w:rPr>
        <w:t>котлов и радиаторов</w:t>
      </w:r>
      <w:r w:rsidR="00B86A39">
        <w:rPr>
          <w:rFonts w:ascii="Arial" w:hAnsi="Arial" w:cs="Arial"/>
          <w:bCs/>
          <w:sz w:val="20"/>
          <w:szCs w:val="20"/>
        </w:rPr>
        <w:t xml:space="preserve"> от</w:t>
      </w:r>
      <w:r w:rsidR="00D6618D">
        <w:rPr>
          <w:rFonts w:ascii="Arial" w:hAnsi="Arial" w:cs="Arial"/>
          <w:bCs/>
          <w:sz w:val="20"/>
          <w:szCs w:val="20"/>
        </w:rPr>
        <w:t xml:space="preserve">опления, </w:t>
      </w:r>
      <w:r w:rsidR="00B86A39">
        <w:rPr>
          <w:rFonts w:ascii="Arial" w:hAnsi="Arial" w:cs="Arial"/>
          <w:bCs/>
          <w:sz w:val="20"/>
          <w:szCs w:val="20"/>
        </w:rPr>
        <w:t xml:space="preserve">производства искусственных и синтетических волокон, рост </w:t>
      </w:r>
      <w:r w:rsidR="00733037">
        <w:rPr>
          <w:rFonts w:ascii="Arial" w:hAnsi="Arial" w:cs="Arial"/>
          <w:bCs/>
          <w:sz w:val="20"/>
          <w:szCs w:val="20"/>
        </w:rPr>
        <w:t>производств</w:t>
      </w:r>
      <w:r w:rsidR="00B86A39">
        <w:rPr>
          <w:rFonts w:ascii="Arial" w:hAnsi="Arial" w:cs="Arial"/>
          <w:bCs/>
          <w:sz w:val="20"/>
          <w:szCs w:val="20"/>
        </w:rPr>
        <w:t>а</w:t>
      </w:r>
      <w:r w:rsidR="00733037">
        <w:rPr>
          <w:rFonts w:ascii="Arial" w:hAnsi="Arial" w:cs="Arial"/>
          <w:bCs/>
          <w:sz w:val="20"/>
          <w:szCs w:val="20"/>
        </w:rPr>
        <w:t xml:space="preserve"> фармацевтической продукции, медицинского оборудования и инструментов, </w:t>
      </w:r>
      <w:r w:rsidR="00B86A39">
        <w:rPr>
          <w:rFonts w:ascii="Arial" w:hAnsi="Arial" w:cs="Arial"/>
          <w:bCs/>
          <w:sz w:val="20"/>
          <w:szCs w:val="20"/>
        </w:rPr>
        <w:t>а также многих других важнейших для экономики видов продукции.</w:t>
      </w:r>
      <w:r w:rsidR="00D6618D">
        <w:rPr>
          <w:rFonts w:ascii="Arial" w:hAnsi="Arial" w:cs="Arial"/>
          <w:bCs/>
          <w:sz w:val="20"/>
          <w:szCs w:val="20"/>
        </w:rPr>
        <w:t xml:space="preserve"> </w:t>
      </w:r>
    </w:p>
    <w:p w:rsidR="001112F6" w:rsidRDefault="001112F6" w:rsidP="001112F6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</w:t>
      </w:r>
      <w:r w:rsidRPr="00692665">
        <w:rPr>
          <w:rFonts w:ascii="Arial" w:hAnsi="Arial" w:cs="Arial"/>
          <w:bCs/>
          <w:sz w:val="20"/>
          <w:szCs w:val="20"/>
        </w:rPr>
        <w:t xml:space="preserve">оложительным фактором восстановления </w:t>
      </w:r>
      <w:r>
        <w:rPr>
          <w:rFonts w:ascii="Arial" w:hAnsi="Arial" w:cs="Arial"/>
          <w:bCs/>
          <w:sz w:val="20"/>
          <w:szCs w:val="20"/>
        </w:rPr>
        <w:t>является</w:t>
      </w:r>
      <w:r w:rsidRPr="00692665">
        <w:rPr>
          <w:rFonts w:ascii="Arial" w:hAnsi="Arial" w:cs="Arial"/>
          <w:bCs/>
          <w:sz w:val="20"/>
          <w:szCs w:val="20"/>
        </w:rPr>
        <w:t xml:space="preserve"> рост экспорта товаров</w:t>
      </w:r>
      <w:r>
        <w:rPr>
          <w:rFonts w:ascii="Arial" w:hAnsi="Arial" w:cs="Arial"/>
          <w:bCs/>
          <w:sz w:val="20"/>
          <w:szCs w:val="20"/>
        </w:rPr>
        <w:t xml:space="preserve"> и</w:t>
      </w:r>
      <w:r w:rsidRPr="00692665">
        <w:rPr>
          <w:rFonts w:ascii="Arial" w:hAnsi="Arial" w:cs="Arial"/>
          <w:bCs/>
          <w:sz w:val="20"/>
          <w:szCs w:val="20"/>
        </w:rPr>
        <w:t xml:space="preserve"> замедлени</w:t>
      </w:r>
      <w:r>
        <w:rPr>
          <w:rFonts w:ascii="Arial" w:hAnsi="Arial" w:cs="Arial"/>
          <w:bCs/>
          <w:sz w:val="20"/>
          <w:szCs w:val="20"/>
        </w:rPr>
        <w:t>е</w:t>
      </w:r>
      <w:r w:rsidRPr="00692665">
        <w:rPr>
          <w:rFonts w:ascii="Arial" w:hAnsi="Arial" w:cs="Arial"/>
          <w:bCs/>
          <w:sz w:val="20"/>
          <w:szCs w:val="20"/>
        </w:rPr>
        <w:t xml:space="preserve"> снижения запасов оборотных средств. </w:t>
      </w:r>
      <w:r>
        <w:rPr>
          <w:rFonts w:ascii="Arial" w:hAnsi="Arial" w:cs="Arial"/>
          <w:bCs/>
          <w:sz w:val="20"/>
          <w:szCs w:val="20"/>
        </w:rPr>
        <w:t>Снижение</w:t>
      </w:r>
      <w:r w:rsidRPr="00C00C6E">
        <w:rPr>
          <w:rFonts w:ascii="Arial" w:hAnsi="Arial" w:cs="Arial"/>
          <w:bCs/>
          <w:sz w:val="20"/>
          <w:szCs w:val="20"/>
        </w:rPr>
        <w:t xml:space="preserve"> инфляции указывает</w:t>
      </w:r>
      <w:r>
        <w:rPr>
          <w:rFonts w:ascii="Arial" w:hAnsi="Arial" w:cs="Arial"/>
          <w:bCs/>
          <w:sz w:val="20"/>
          <w:szCs w:val="20"/>
        </w:rPr>
        <w:t xml:space="preserve"> на</w:t>
      </w:r>
      <w:r w:rsidRPr="00C00C6E">
        <w:rPr>
          <w:rFonts w:ascii="Arial" w:hAnsi="Arial" w:cs="Arial"/>
          <w:bCs/>
          <w:sz w:val="20"/>
          <w:szCs w:val="20"/>
        </w:rPr>
        <w:t xml:space="preserve"> стабилизаци</w:t>
      </w:r>
      <w:r>
        <w:rPr>
          <w:rFonts w:ascii="Arial" w:hAnsi="Arial" w:cs="Arial"/>
          <w:bCs/>
          <w:sz w:val="20"/>
          <w:szCs w:val="20"/>
        </w:rPr>
        <w:t>ю</w:t>
      </w:r>
      <w:r w:rsidRPr="00C00C6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экономики и финансов.</w:t>
      </w:r>
      <w:r w:rsidRPr="00C00C6E">
        <w:rPr>
          <w:rFonts w:ascii="Arial" w:hAnsi="Arial" w:cs="Arial"/>
          <w:bCs/>
          <w:sz w:val="20"/>
          <w:szCs w:val="20"/>
        </w:rPr>
        <w:t xml:space="preserve"> </w:t>
      </w:r>
      <w:r w:rsidRPr="0080298A">
        <w:rPr>
          <w:rFonts w:ascii="Arial" w:hAnsi="Arial" w:cs="Arial"/>
          <w:bCs/>
          <w:sz w:val="20"/>
          <w:szCs w:val="20"/>
        </w:rPr>
        <w:t xml:space="preserve">Рост </w:t>
      </w:r>
      <w:r>
        <w:rPr>
          <w:rFonts w:ascii="Arial" w:hAnsi="Arial" w:cs="Arial"/>
          <w:bCs/>
          <w:sz w:val="20"/>
          <w:szCs w:val="20"/>
        </w:rPr>
        <w:t xml:space="preserve">цен нефти также </w:t>
      </w:r>
      <w:r w:rsidRPr="0080298A">
        <w:rPr>
          <w:rFonts w:ascii="Arial" w:hAnsi="Arial" w:cs="Arial"/>
          <w:bCs/>
          <w:sz w:val="20"/>
          <w:szCs w:val="20"/>
        </w:rPr>
        <w:t>оказ</w:t>
      </w:r>
      <w:r>
        <w:rPr>
          <w:rFonts w:ascii="Arial" w:hAnsi="Arial" w:cs="Arial"/>
          <w:bCs/>
          <w:sz w:val="20"/>
          <w:szCs w:val="20"/>
        </w:rPr>
        <w:t>ывает</w:t>
      </w:r>
      <w:r w:rsidRPr="0080298A">
        <w:rPr>
          <w:rFonts w:ascii="Arial" w:hAnsi="Arial" w:cs="Arial"/>
          <w:bCs/>
          <w:sz w:val="20"/>
          <w:szCs w:val="20"/>
        </w:rPr>
        <w:t xml:space="preserve"> п</w:t>
      </w:r>
      <w:r>
        <w:rPr>
          <w:rFonts w:ascii="Arial" w:hAnsi="Arial" w:cs="Arial"/>
          <w:bCs/>
          <w:sz w:val="20"/>
          <w:szCs w:val="20"/>
        </w:rPr>
        <w:t>оддержку консервативной финансовой политике государства и экономической активности бизнеса, и в случае отсутствия внешних негативных действий можно</w:t>
      </w:r>
      <w:r w:rsidRPr="0080298A">
        <w:rPr>
          <w:rFonts w:ascii="Arial" w:hAnsi="Arial" w:cs="Arial"/>
          <w:bCs/>
          <w:sz w:val="20"/>
          <w:szCs w:val="20"/>
        </w:rPr>
        <w:t xml:space="preserve"> ожида</w:t>
      </w:r>
      <w:r>
        <w:rPr>
          <w:rFonts w:ascii="Arial" w:hAnsi="Arial" w:cs="Arial"/>
          <w:bCs/>
          <w:sz w:val="20"/>
          <w:szCs w:val="20"/>
        </w:rPr>
        <w:t xml:space="preserve">ть восстановления потребительского спроса и роста </w:t>
      </w:r>
      <w:r w:rsidRPr="0080298A">
        <w:rPr>
          <w:rFonts w:ascii="Arial" w:hAnsi="Arial" w:cs="Arial"/>
          <w:bCs/>
          <w:sz w:val="20"/>
          <w:szCs w:val="20"/>
        </w:rPr>
        <w:t xml:space="preserve">экономики </w:t>
      </w:r>
      <w:r>
        <w:rPr>
          <w:rFonts w:ascii="Arial" w:hAnsi="Arial" w:cs="Arial"/>
          <w:bCs/>
          <w:sz w:val="20"/>
          <w:szCs w:val="20"/>
        </w:rPr>
        <w:t xml:space="preserve">со второй половины 2016 года. </w:t>
      </w:r>
      <w:r w:rsidRPr="00692665">
        <w:rPr>
          <w:rFonts w:ascii="Arial" w:hAnsi="Arial" w:cs="Arial"/>
          <w:bCs/>
          <w:sz w:val="20"/>
          <w:szCs w:val="20"/>
        </w:rPr>
        <w:t xml:space="preserve">Ожидается, что </w:t>
      </w:r>
      <w:r>
        <w:rPr>
          <w:rFonts w:ascii="Arial" w:hAnsi="Arial" w:cs="Arial"/>
          <w:bCs/>
          <w:sz w:val="20"/>
          <w:szCs w:val="20"/>
        </w:rPr>
        <w:t xml:space="preserve">с </w:t>
      </w:r>
      <w:r w:rsidRPr="00692665">
        <w:rPr>
          <w:rFonts w:ascii="Arial" w:hAnsi="Arial" w:cs="Arial"/>
          <w:bCs/>
          <w:sz w:val="20"/>
          <w:szCs w:val="20"/>
        </w:rPr>
        <w:t>2017 года восстановится положительная динамика инвестиций и рост доходов населения</w:t>
      </w:r>
      <w:r>
        <w:rPr>
          <w:rFonts w:ascii="Arial" w:hAnsi="Arial" w:cs="Arial"/>
          <w:bCs/>
          <w:sz w:val="20"/>
          <w:szCs w:val="20"/>
        </w:rPr>
        <w:t>.</w:t>
      </w:r>
      <w:r w:rsidRPr="0069266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Это приведет к росту </w:t>
      </w:r>
      <w:r w:rsidRPr="00692665">
        <w:rPr>
          <w:rFonts w:ascii="Arial" w:hAnsi="Arial" w:cs="Arial"/>
          <w:bCs/>
          <w:sz w:val="20"/>
          <w:szCs w:val="20"/>
        </w:rPr>
        <w:t xml:space="preserve">потребительского спроса </w:t>
      </w:r>
      <w:r>
        <w:rPr>
          <w:rFonts w:ascii="Arial" w:hAnsi="Arial" w:cs="Arial"/>
          <w:bCs/>
          <w:sz w:val="20"/>
          <w:szCs w:val="20"/>
        </w:rPr>
        <w:t>и к дальнейшему стимулированию экономики</w:t>
      </w:r>
      <w:r w:rsidRPr="0069266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B1D25" w:rsidRDefault="00A20BEA" w:rsidP="001112F6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Благо, в стране есть все ключевые ресурсы: энергетика, сырье, кадровый потенциал. </w:t>
      </w:r>
      <w:r w:rsidR="00FB364E">
        <w:rPr>
          <w:rFonts w:ascii="Arial" w:hAnsi="Arial" w:cs="Arial"/>
          <w:sz w:val="20"/>
          <w:szCs w:val="20"/>
        </w:rPr>
        <w:t xml:space="preserve">Для дальнейшего развития импортозамещения требуются значительные и регулярные инвестиции в активы высокотехнологичных отраслей. </w:t>
      </w:r>
      <w:r>
        <w:rPr>
          <w:rFonts w:ascii="Arial" w:hAnsi="Arial" w:cs="Arial"/>
          <w:sz w:val="20"/>
          <w:szCs w:val="20"/>
        </w:rPr>
        <w:t>Необходимо</w:t>
      </w:r>
      <w:r w:rsidR="00FB3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развивать инженерную инфраструктуру, </w:t>
      </w:r>
      <w:r w:rsidR="00FB364E">
        <w:rPr>
          <w:rFonts w:ascii="Arial" w:hAnsi="Arial" w:cs="Arial"/>
          <w:sz w:val="20"/>
          <w:szCs w:val="20"/>
        </w:rPr>
        <w:t>строить новые производственные здания</w:t>
      </w:r>
      <w:r>
        <w:rPr>
          <w:rFonts w:ascii="Arial" w:hAnsi="Arial" w:cs="Arial"/>
          <w:sz w:val="20"/>
          <w:szCs w:val="20"/>
        </w:rPr>
        <w:t xml:space="preserve"> и сооружения</w:t>
      </w:r>
      <w:r w:rsidR="00FB364E">
        <w:rPr>
          <w:rFonts w:ascii="Arial" w:hAnsi="Arial" w:cs="Arial"/>
          <w:sz w:val="20"/>
          <w:szCs w:val="20"/>
        </w:rPr>
        <w:t>, приобретать</w:t>
      </w:r>
      <w:r>
        <w:rPr>
          <w:rFonts w:ascii="Arial" w:hAnsi="Arial" w:cs="Arial"/>
          <w:sz w:val="20"/>
          <w:szCs w:val="20"/>
        </w:rPr>
        <w:t xml:space="preserve">, проектировать и создавать </w:t>
      </w:r>
      <w:r w:rsidR="00FB364E">
        <w:rPr>
          <w:rFonts w:ascii="Arial" w:hAnsi="Arial" w:cs="Arial"/>
          <w:sz w:val="20"/>
          <w:szCs w:val="20"/>
        </w:rPr>
        <w:t>современное оборудование, обучать кадры, внедрять новые технологии и организацию производства.</w:t>
      </w:r>
      <w:r w:rsidR="00FB364E" w:rsidRPr="001F56B6">
        <w:rPr>
          <w:rFonts w:ascii="Arial" w:hAnsi="Arial" w:cs="Arial"/>
          <w:sz w:val="20"/>
          <w:szCs w:val="20"/>
        </w:rPr>
        <w:t xml:space="preserve"> </w:t>
      </w:r>
      <w:r w:rsidR="00FB364E">
        <w:rPr>
          <w:rFonts w:ascii="Arial" w:hAnsi="Arial" w:cs="Arial"/>
          <w:sz w:val="20"/>
          <w:szCs w:val="20"/>
        </w:rPr>
        <w:t xml:space="preserve">Важнейшей предпосылкой для экономической стабилизации являются государственные </w:t>
      </w:r>
      <w:r>
        <w:rPr>
          <w:rFonts w:ascii="Arial" w:hAnsi="Arial" w:cs="Arial"/>
          <w:sz w:val="20"/>
          <w:szCs w:val="20"/>
        </w:rPr>
        <w:t xml:space="preserve">целевые </w:t>
      </w:r>
      <w:r w:rsidR="00FB364E">
        <w:rPr>
          <w:rFonts w:ascii="Arial" w:hAnsi="Arial" w:cs="Arial"/>
          <w:sz w:val="20"/>
          <w:szCs w:val="20"/>
        </w:rPr>
        <w:t>программы, которые</w:t>
      </w:r>
      <w:r w:rsidR="00FB364E" w:rsidRPr="004B1153">
        <w:rPr>
          <w:rFonts w:ascii="Arial" w:hAnsi="Arial" w:cs="Arial"/>
          <w:sz w:val="20"/>
          <w:szCs w:val="20"/>
        </w:rPr>
        <w:t xml:space="preserve"> </w:t>
      </w:r>
      <w:r w:rsidR="00B86A39">
        <w:rPr>
          <w:rFonts w:ascii="Arial" w:hAnsi="Arial" w:cs="Arial"/>
          <w:sz w:val="20"/>
          <w:szCs w:val="20"/>
        </w:rPr>
        <w:t>раз</w:t>
      </w:r>
      <w:r w:rsidR="006201EB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>ня</w:t>
      </w:r>
      <w:r w:rsidR="00B86A39">
        <w:rPr>
          <w:rFonts w:ascii="Arial" w:hAnsi="Arial" w:cs="Arial"/>
          <w:sz w:val="20"/>
          <w:szCs w:val="20"/>
        </w:rPr>
        <w:t>т</w:t>
      </w:r>
      <w:r w:rsidR="00FB364E" w:rsidRPr="004B1153">
        <w:rPr>
          <w:rFonts w:ascii="Arial" w:hAnsi="Arial" w:cs="Arial"/>
          <w:sz w:val="20"/>
          <w:szCs w:val="20"/>
        </w:rPr>
        <w:t xml:space="preserve"> </w:t>
      </w:r>
      <w:r w:rsidR="00FB364E">
        <w:rPr>
          <w:rFonts w:ascii="Arial" w:hAnsi="Arial" w:cs="Arial"/>
          <w:sz w:val="20"/>
          <w:szCs w:val="20"/>
        </w:rPr>
        <w:t xml:space="preserve">инвестиционные процессы. Однако это процесс многосложный, затратный, требует времени и ожидать скорого </w:t>
      </w:r>
      <w:r w:rsidR="00B86A39">
        <w:rPr>
          <w:rFonts w:ascii="Arial" w:hAnsi="Arial" w:cs="Arial"/>
          <w:sz w:val="20"/>
          <w:szCs w:val="20"/>
        </w:rPr>
        <w:t>перелома здесь не стоит.</w:t>
      </w:r>
      <w:r>
        <w:rPr>
          <w:rFonts w:ascii="Arial" w:hAnsi="Arial" w:cs="Arial"/>
          <w:sz w:val="20"/>
          <w:szCs w:val="20"/>
        </w:rPr>
        <w:t xml:space="preserve"> </w:t>
      </w:r>
      <w:r w:rsidR="001112F6">
        <w:rPr>
          <w:rFonts w:ascii="Arial" w:hAnsi="Arial" w:cs="Arial"/>
          <w:sz w:val="20"/>
          <w:szCs w:val="20"/>
        </w:rPr>
        <w:t>Реформирование структуры экономики займет не менее десятка лет.</w:t>
      </w:r>
    </w:p>
    <w:p w:rsidR="000A5BB5" w:rsidRDefault="000A3902" w:rsidP="000A5BB5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 </w:t>
      </w:r>
      <w:r w:rsidR="009E610D">
        <w:rPr>
          <w:rFonts w:ascii="Arial" w:hAnsi="Arial" w:cs="Arial"/>
          <w:sz w:val="20"/>
          <w:szCs w:val="20"/>
        </w:rPr>
        <w:t xml:space="preserve">количественную и географическую </w:t>
      </w:r>
      <w:r>
        <w:rPr>
          <w:rFonts w:ascii="Arial" w:hAnsi="Arial" w:cs="Arial"/>
          <w:sz w:val="20"/>
          <w:szCs w:val="20"/>
        </w:rPr>
        <w:t xml:space="preserve">ограниченность </w:t>
      </w:r>
      <w:r w:rsidR="009E610D">
        <w:rPr>
          <w:rFonts w:ascii="Arial" w:hAnsi="Arial" w:cs="Arial"/>
          <w:sz w:val="20"/>
          <w:szCs w:val="20"/>
        </w:rPr>
        <w:t>добычи природных ресурсов</w:t>
      </w:r>
      <w:r>
        <w:rPr>
          <w:rFonts w:ascii="Arial" w:hAnsi="Arial" w:cs="Arial"/>
          <w:sz w:val="20"/>
          <w:szCs w:val="20"/>
        </w:rPr>
        <w:t>, у</w:t>
      </w:r>
      <w:r w:rsidR="00BA1ECE" w:rsidRPr="001112F6">
        <w:rPr>
          <w:rFonts w:ascii="Arial" w:hAnsi="Arial" w:cs="Arial"/>
          <w:sz w:val="20"/>
          <w:szCs w:val="20"/>
        </w:rPr>
        <w:t>глеводород</w:t>
      </w:r>
      <w:r w:rsidR="001112F6">
        <w:rPr>
          <w:rFonts w:ascii="Arial" w:hAnsi="Arial" w:cs="Arial"/>
          <w:sz w:val="20"/>
          <w:szCs w:val="20"/>
        </w:rPr>
        <w:t>ы</w:t>
      </w:r>
      <w:r w:rsidR="00BA1ECE" w:rsidRPr="001112F6">
        <w:rPr>
          <w:rFonts w:ascii="Arial" w:hAnsi="Arial" w:cs="Arial"/>
          <w:sz w:val="20"/>
          <w:szCs w:val="20"/>
        </w:rPr>
        <w:t xml:space="preserve"> </w:t>
      </w:r>
      <w:r w:rsidR="009E610D">
        <w:rPr>
          <w:rFonts w:ascii="Arial" w:hAnsi="Arial" w:cs="Arial"/>
          <w:sz w:val="20"/>
          <w:szCs w:val="20"/>
        </w:rPr>
        <w:t xml:space="preserve">(нефть и газ) </w:t>
      </w:r>
      <w:r w:rsidR="009A0CBA">
        <w:rPr>
          <w:rFonts w:ascii="Arial" w:hAnsi="Arial" w:cs="Arial"/>
          <w:sz w:val="20"/>
          <w:szCs w:val="20"/>
        </w:rPr>
        <w:t>сохраня</w:t>
      </w:r>
      <w:r w:rsidR="001112F6">
        <w:rPr>
          <w:rFonts w:ascii="Arial" w:hAnsi="Arial" w:cs="Arial"/>
          <w:sz w:val="20"/>
          <w:szCs w:val="20"/>
        </w:rPr>
        <w:t>т свою значимость</w:t>
      </w:r>
      <w:r w:rsidR="001112F6" w:rsidRPr="001112F6">
        <w:rPr>
          <w:rFonts w:ascii="Arial" w:hAnsi="Arial" w:cs="Arial"/>
          <w:sz w:val="20"/>
          <w:szCs w:val="20"/>
        </w:rPr>
        <w:t xml:space="preserve"> </w:t>
      </w:r>
      <w:r w:rsidR="009A0CBA">
        <w:rPr>
          <w:rFonts w:ascii="Arial" w:hAnsi="Arial" w:cs="Arial"/>
          <w:sz w:val="20"/>
          <w:szCs w:val="20"/>
        </w:rPr>
        <w:t xml:space="preserve">для </w:t>
      </w:r>
      <w:r w:rsidR="001112F6" w:rsidRPr="001112F6">
        <w:rPr>
          <w:rFonts w:ascii="Arial" w:hAnsi="Arial" w:cs="Arial"/>
          <w:sz w:val="20"/>
          <w:szCs w:val="20"/>
        </w:rPr>
        <w:t>России</w:t>
      </w:r>
      <w:r w:rsidR="009E610D">
        <w:rPr>
          <w:rFonts w:ascii="Arial" w:hAnsi="Arial" w:cs="Arial"/>
          <w:sz w:val="20"/>
          <w:szCs w:val="20"/>
        </w:rPr>
        <w:t xml:space="preserve"> и в будущем</w:t>
      </w:r>
      <w:r w:rsidR="001112F6" w:rsidRPr="001112F6">
        <w:rPr>
          <w:rFonts w:ascii="Arial" w:hAnsi="Arial" w:cs="Arial"/>
          <w:sz w:val="20"/>
          <w:szCs w:val="20"/>
        </w:rPr>
        <w:t xml:space="preserve">. </w:t>
      </w:r>
      <w:r w:rsidR="009E610D">
        <w:rPr>
          <w:rFonts w:ascii="Arial" w:hAnsi="Arial" w:cs="Arial"/>
          <w:sz w:val="20"/>
          <w:szCs w:val="20"/>
        </w:rPr>
        <w:t xml:space="preserve">В условиях расширяющегося </w:t>
      </w:r>
      <w:r w:rsidR="00E04567">
        <w:rPr>
          <w:rFonts w:ascii="Arial" w:hAnsi="Arial" w:cs="Arial"/>
          <w:sz w:val="20"/>
          <w:szCs w:val="20"/>
        </w:rPr>
        <w:t xml:space="preserve">мирового </w:t>
      </w:r>
      <w:r w:rsidR="009E610D">
        <w:rPr>
          <w:rFonts w:ascii="Arial" w:hAnsi="Arial" w:cs="Arial"/>
          <w:sz w:val="20"/>
          <w:szCs w:val="20"/>
        </w:rPr>
        <w:t>производства и потребления ресурсов</w:t>
      </w:r>
      <w:r w:rsidR="00A00E14">
        <w:rPr>
          <w:rFonts w:ascii="Arial" w:hAnsi="Arial" w:cs="Arial"/>
          <w:sz w:val="20"/>
          <w:szCs w:val="20"/>
        </w:rPr>
        <w:t xml:space="preserve">, в условиях повышения </w:t>
      </w:r>
      <w:r w:rsidR="00A00E14">
        <w:rPr>
          <w:rFonts w:ascii="Arial" w:hAnsi="Arial" w:cs="Arial"/>
          <w:sz w:val="20"/>
          <w:szCs w:val="20"/>
        </w:rPr>
        <w:lastRenderedPageBreak/>
        <w:t>себестоимости добычи</w:t>
      </w:r>
      <w:r w:rsidR="009E610D">
        <w:rPr>
          <w:rFonts w:ascii="Arial" w:hAnsi="Arial" w:cs="Arial"/>
          <w:sz w:val="20"/>
          <w:szCs w:val="20"/>
        </w:rPr>
        <w:t xml:space="preserve"> м</w:t>
      </w:r>
      <w:r w:rsidR="009B1D25" w:rsidRPr="001112F6">
        <w:rPr>
          <w:rFonts w:ascii="Arial" w:hAnsi="Arial" w:cs="Arial"/>
          <w:sz w:val="20"/>
          <w:szCs w:val="20"/>
        </w:rPr>
        <w:t xml:space="preserve">ировые </w:t>
      </w:r>
      <w:r w:rsidR="009B1D25" w:rsidRPr="001112F6">
        <w:rPr>
          <w:rFonts w:ascii="Arial" w:hAnsi="Arial" w:cs="Arial"/>
          <w:bCs/>
          <w:sz w:val="20"/>
          <w:szCs w:val="20"/>
        </w:rPr>
        <w:t>ц</w:t>
      </w:r>
      <w:r w:rsidR="00835711" w:rsidRPr="001112F6">
        <w:rPr>
          <w:rFonts w:ascii="Arial" w:hAnsi="Arial" w:cs="Arial"/>
          <w:bCs/>
          <w:sz w:val="20"/>
          <w:szCs w:val="20"/>
        </w:rPr>
        <w:t>ены на нефть не могут искусственно удерживаться на низком уровне в течение длительного времени</w:t>
      </w:r>
      <w:r w:rsidR="00391722" w:rsidRPr="001112F6">
        <w:rPr>
          <w:rFonts w:ascii="Arial" w:hAnsi="Arial" w:cs="Arial"/>
          <w:bCs/>
          <w:sz w:val="20"/>
          <w:szCs w:val="20"/>
        </w:rPr>
        <w:t>.</w:t>
      </w:r>
      <w:r w:rsidR="00D54D35" w:rsidRPr="001112F6">
        <w:rPr>
          <w:rFonts w:ascii="Arial" w:hAnsi="Arial" w:cs="Arial"/>
          <w:bCs/>
          <w:sz w:val="20"/>
          <w:szCs w:val="20"/>
        </w:rPr>
        <w:t xml:space="preserve"> </w:t>
      </w:r>
      <w:r w:rsidR="00A00E14">
        <w:rPr>
          <w:rFonts w:ascii="Arial" w:hAnsi="Arial" w:cs="Arial"/>
          <w:bCs/>
          <w:sz w:val="20"/>
          <w:szCs w:val="20"/>
        </w:rPr>
        <w:t>Учитывая цикличность развития мировой экономики, общая тенденция роста цен сохранится.</w:t>
      </w:r>
    </w:p>
    <w:p w:rsidR="009B1D25" w:rsidRPr="001112F6" w:rsidRDefault="000A5BB5" w:rsidP="000A5BB5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Уже в</w:t>
      </w:r>
      <w:r w:rsidR="00657622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апреле 2016 года</w:t>
      </w:r>
      <w:r w:rsidR="00B61193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отмечено</w:t>
      </w:r>
      <w:r w:rsidR="00E3679D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>сильнейшее за последние 10 месяцев сокращение добычи в США.</w:t>
      </w:r>
      <w:proofErr w:type="gramEnd"/>
      <w:r w:rsidR="00E3679D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>Закрытие нерентабельных буровых установок прив</w:t>
      </w:r>
      <w:r w:rsidR="0077583E">
        <w:rPr>
          <w:rFonts w:ascii="Arial" w:hAnsi="Arial" w:cs="Arial"/>
          <w:color w:val="000000"/>
          <w:sz w:val="20"/>
          <w:szCs w:val="20"/>
        </w:rPr>
        <w:t>ело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 xml:space="preserve"> к с</w:t>
      </w:r>
      <w:r w:rsidR="00491815" w:rsidRPr="001112F6">
        <w:rPr>
          <w:rFonts w:ascii="Arial" w:hAnsi="Arial" w:cs="Arial"/>
          <w:color w:val="000000"/>
          <w:sz w:val="20"/>
          <w:szCs w:val="20"/>
        </w:rPr>
        <w:t>нижению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 xml:space="preserve"> предложения на рынке</w:t>
      </w:r>
      <w:r w:rsidR="00E04567">
        <w:rPr>
          <w:rFonts w:ascii="Arial" w:hAnsi="Arial" w:cs="Arial"/>
          <w:color w:val="000000"/>
          <w:sz w:val="20"/>
          <w:szCs w:val="20"/>
        </w:rPr>
        <w:t xml:space="preserve"> нефти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>.</w:t>
      </w:r>
      <w:r w:rsidR="00B61193" w:rsidRPr="001112F6">
        <w:rPr>
          <w:rFonts w:ascii="Arial" w:hAnsi="Arial" w:cs="Arial"/>
          <w:sz w:val="20"/>
          <w:szCs w:val="20"/>
        </w:rPr>
        <w:t xml:space="preserve"> Сокращение добычи на Аляске достигло 16%. </w:t>
      </w:r>
      <w:r w:rsidR="00B61193" w:rsidRPr="001112F6">
        <w:rPr>
          <w:rFonts w:ascii="Arial" w:hAnsi="Arial" w:cs="Arial"/>
          <w:color w:val="000000"/>
          <w:sz w:val="20"/>
          <w:szCs w:val="20"/>
        </w:rPr>
        <w:t xml:space="preserve">Цена на автомобильное топливо в </w:t>
      </w:r>
      <w:r w:rsidR="009B1D25" w:rsidRPr="001112F6">
        <w:rPr>
          <w:rFonts w:ascii="Arial" w:hAnsi="Arial" w:cs="Arial"/>
          <w:color w:val="000000"/>
          <w:sz w:val="20"/>
          <w:szCs w:val="20"/>
        </w:rPr>
        <w:t>США</w:t>
      </w:r>
      <w:r w:rsidR="00B61193" w:rsidRPr="001112F6">
        <w:rPr>
          <w:rFonts w:ascii="Arial" w:hAnsi="Arial" w:cs="Arial"/>
          <w:color w:val="000000"/>
          <w:sz w:val="20"/>
          <w:szCs w:val="20"/>
        </w:rPr>
        <w:t>, как крупне</w:t>
      </w:r>
      <w:r w:rsidR="00E04567">
        <w:rPr>
          <w:rFonts w:ascii="Arial" w:hAnsi="Arial" w:cs="Arial"/>
          <w:color w:val="000000"/>
          <w:sz w:val="20"/>
          <w:szCs w:val="20"/>
        </w:rPr>
        <w:t xml:space="preserve">йшем потребителе нефти в мире, </w:t>
      </w:r>
      <w:r w:rsidR="00B61193" w:rsidRPr="001112F6">
        <w:rPr>
          <w:rFonts w:ascii="Arial" w:hAnsi="Arial" w:cs="Arial"/>
          <w:color w:val="000000"/>
          <w:sz w:val="20"/>
          <w:szCs w:val="20"/>
        </w:rPr>
        <w:t>поднялась с февраля 2016 года с $1,68 до отметки $2,22 за галлон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>.</w:t>
      </w:r>
      <w:r w:rsidR="002A2471" w:rsidRPr="001112F6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Потребности в нефти у Китая </w:t>
      </w:r>
      <w:r w:rsidR="00D54D35" w:rsidRPr="001112F6">
        <w:rPr>
          <w:rFonts w:ascii="Arial" w:hAnsi="Arial" w:cs="Arial"/>
          <w:color w:val="000000"/>
          <w:sz w:val="20"/>
          <w:szCs w:val="20"/>
        </w:rPr>
        <w:t>в последние 20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-25 лет неизменно растут, и в начале апреля </w:t>
      </w:r>
      <w:r w:rsidR="00D54D35" w:rsidRPr="001112F6">
        <w:rPr>
          <w:rFonts w:ascii="Arial" w:hAnsi="Arial" w:cs="Arial"/>
          <w:color w:val="000000"/>
          <w:sz w:val="20"/>
          <w:szCs w:val="20"/>
        </w:rPr>
        <w:t>установлен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рекорд по импорту нефти, а в ближайшем будущем </w:t>
      </w:r>
      <w:r w:rsidR="00D54D35" w:rsidRPr="001112F6">
        <w:rPr>
          <w:rFonts w:ascii="Arial" w:hAnsi="Arial" w:cs="Arial"/>
          <w:color w:val="000000"/>
          <w:sz w:val="20"/>
          <w:szCs w:val="20"/>
        </w:rPr>
        <w:t>КНР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готовится стать главным мировым импортером, обогнав США. Россия при этом активно </w:t>
      </w:r>
      <w:r w:rsidR="0077583E">
        <w:rPr>
          <w:rFonts w:ascii="Arial" w:hAnsi="Arial" w:cs="Arial"/>
          <w:color w:val="000000"/>
          <w:sz w:val="20"/>
          <w:szCs w:val="20"/>
        </w:rPr>
        <w:t>теснит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Саудовск</w:t>
      </w:r>
      <w:r w:rsidR="0077583E">
        <w:rPr>
          <w:rFonts w:ascii="Arial" w:hAnsi="Arial" w:cs="Arial"/>
          <w:color w:val="000000"/>
          <w:sz w:val="20"/>
          <w:szCs w:val="20"/>
        </w:rPr>
        <w:t>ую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Арави</w:t>
      </w:r>
      <w:r w:rsidR="0077583E">
        <w:rPr>
          <w:rFonts w:ascii="Arial" w:hAnsi="Arial" w:cs="Arial"/>
          <w:color w:val="000000"/>
          <w:sz w:val="20"/>
          <w:szCs w:val="20"/>
        </w:rPr>
        <w:t>ю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на китайском рынке, наращивая свой экспорт. </w:t>
      </w:r>
      <w:r w:rsidR="00683A8A" w:rsidRPr="001112F6">
        <w:rPr>
          <w:rFonts w:ascii="Arial" w:hAnsi="Arial" w:cs="Arial"/>
          <w:bCs/>
          <w:sz w:val="20"/>
          <w:szCs w:val="20"/>
        </w:rPr>
        <w:t>П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ризнаки </w:t>
      </w:r>
      <w:r w:rsidR="00683A8A" w:rsidRPr="001112F6">
        <w:rPr>
          <w:rFonts w:ascii="Arial" w:hAnsi="Arial" w:cs="Arial"/>
          <w:bCs/>
          <w:sz w:val="20"/>
          <w:szCs w:val="20"/>
        </w:rPr>
        <w:t xml:space="preserve">восстановления </w:t>
      </w:r>
      <w:r w:rsidR="00D003DE" w:rsidRPr="001112F6">
        <w:rPr>
          <w:rFonts w:ascii="Arial" w:hAnsi="Arial" w:cs="Arial"/>
          <w:bCs/>
          <w:sz w:val="20"/>
          <w:szCs w:val="20"/>
        </w:rPr>
        <w:t>мира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на Ближнем Востоке, </w:t>
      </w:r>
      <w:r w:rsidR="002A2471" w:rsidRPr="001112F6">
        <w:rPr>
          <w:rFonts w:ascii="Arial" w:hAnsi="Arial" w:cs="Arial"/>
          <w:bCs/>
          <w:sz w:val="20"/>
          <w:szCs w:val="20"/>
        </w:rPr>
        <w:t xml:space="preserve">общая тенденция </w:t>
      </w:r>
      <w:r w:rsidR="00D003DE" w:rsidRPr="001112F6">
        <w:rPr>
          <w:rFonts w:ascii="Arial" w:hAnsi="Arial" w:cs="Arial"/>
          <w:bCs/>
          <w:sz w:val="20"/>
          <w:szCs w:val="20"/>
        </w:rPr>
        <w:t xml:space="preserve">большинства нефтедобывающих стран </w:t>
      </w:r>
      <w:r w:rsidR="002A2471" w:rsidRPr="001112F6">
        <w:rPr>
          <w:rFonts w:ascii="Arial" w:hAnsi="Arial" w:cs="Arial"/>
          <w:bCs/>
          <w:sz w:val="20"/>
          <w:szCs w:val="20"/>
        </w:rPr>
        <w:t>регулировать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добыч</w:t>
      </w:r>
      <w:r w:rsidR="002A2471" w:rsidRPr="001112F6">
        <w:rPr>
          <w:rFonts w:ascii="Arial" w:hAnsi="Arial" w:cs="Arial"/>
          <w:bCs/>
          <w:sz w:val="20"/>
          <w:szCs w:val="20"/>
        </w:rPr>
        <w:t>у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</w:t>
      </w:r>
      <w:r w:rsidR="00E04567">
        <w:rPr>
          <w:rFonts w:ascii="Arial" w:hAnsi="Arial" w:cs="Arial"/>
          <w:bCs/>
          <w:sz w:val="20"/>
          <w:szCs w:val="20"/>
        </w:rPr>
        <w:t xml:space="preserve">и продажу </w:t>
      </w:r>
      <w:r w:rsidR="00210EB9" w:rsidRPr="001112F6">
        <w:rPr>
          <w:rFonts w:ascii="Arial" w:hAnsi="Arial" w:cs="Arial"/>
          <w:bCs/>
          <w:sz w:val="20"/>
          <w:szCs w:val="20"/>
        </w:rPr>
        <w:t>нефти</w:t>
      </w:r>
      <w:r w:rsidR="00683A8A" w:rsidRPr="001112F6">
        <w:rPr>
          <w:rFonts w:ascii="Arial" w:hAnsi="Arial" w:cs="Arial"/>
          <w:bCs/>
          <w:sz w:val="20"/>
          <w:szCs w:val="20"/>
        </w:rPr>
        <w:t xml:space="preserve"> 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позволяют надеяться на </w:t>
      </w:r>
      <w:r w:rsidR="0077583E">
        <w:rPr>
          <w:rFonts w:ascii="Arial" w:hAnsi="Arial" w:cs="Arial"/>
          <w:bCs/>
          <w:sz w:val="20"/>
          <w:szCs w:val="20"/>
        </w:rPr>
        <w:t>стабилизацию цен на уровне 70 долл./баррель.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Вместе с тем, все понимают высокую степень неопределенности в вопросах</w:t>
      </w:r>
      <w:r w:rsidR="00C56759" w:rsidRPr="001112F6">
        <w:rPr>
          <w:rFonts w:ascii="Arial" w:hAnsi="Arial" w:cs="Arial"/>
          <w:bCs/>
          <w:sz w:val="20"/>
          <w:szCs w:val="20"/>
        </w:rPr>
        <w:t xml:space="preserve"> войны и мира</w:t>
      </w:r>
      <w:r w:rsidR="00210EB9" w:rsidRPr="001112F6">
        <w:rPr>
          <w:rFonts w:ascii="Arial" w:hAnsi="Arial" w:cs="Arial"/>
          <w:bCs/>
          <w:sz w:val="20"/>
          <w:szCs w:val="20"/>
        </w:rPr>
        <w:t>.</w:t>
      </w:r>
      <w:r w:rsidR="00D003DE" w:rsidRPr="001112F6">
        <w:rPr>
          <w:rFonts w:ascii="Arial" w:hAnsi="Arial" w:cs="Arial"/>
          <w:bCs/>
          <w:sz w:val="20"/>
          <w:szCs w:val="20"/>
        </w:rPr>
        <w:t xml:space="preserve"> В любом случае, </w:t>
      </w:r>
      <w:r w:rsidR="002A2471" w:rsidRPr="001112F6">
        <w:rPr>
          <w:rFonts w:ascii="Arial" w:hAnsi="Arial" w:cs="Arial"/>
          <w:bCs/>
          <w:sz w:val="20"/>
          <w:szCs w:val="20"/>
        </w:rPr>
        <w:t xml:space="preserve">России следует </w:t>
      </w:r>
      <w:r w:rsidR="00D54D35" w:rsidRPr="001112F6">
        <w:rPr>
          <w:rFonts w:ascii="Arial" w:hAnsi="Arial" w:cs="Arial"/>
          <w:bCs/>
          <w:sz w:val="20"/>
          <w:szCs w:val="20"/>
        </w:rPr>
        <w:t xml:space="preserve">интенсивнее развивать </w:t>
      </w:r>
      <w:r w:rsidR="0077583E">
        <w:rPr>
          <w:rFonts w:ascii="Arial" w:hAnsi="Arial" w:cs="Arial"/>
          <w:bCs/>
          <w:sz w:val="20"/>
          <w:szCs w:val="20"/>
        </w:rPr>
        <w:t xml:space="preserve">импортозамещающие </w:t>
      </w:r>
      <w:r w:rsidR="00D54D35" w:rsidRPr="001112F6">
        <w:rPr>
          <w:rFonts w:ascii="Arial" w:hAnsi="Arial" w:cs="Arial"/>
          <w:bCs/>
          <w:sz w:val="20"/>
          <w:szCs w:val="20"/>
        </w:rPr>
        <w:t>перерабатывающие и высокотехнологичные отра</w:t>
      </w:r>
      <w:r w:rsidR="00C56759" w:rsidRPr="001112F6">
        <w:rPr>
          <w:rFonts w:ascii="Arial" w:hAnsi="Arial" w:cs="Arial"/>
          <w:bCs/>
          <w:sz w:val="20"/>
          <w:szCs w:val="20"/>
        </w:rPr>
        <w:t xml:space="preserve">сли, </w:t>
      </w:r>
      <w:r w:rsidR="0077583E">
        <w:rPr>
          <w:rFonts w:ascii="Arial" w:hAnsi="Arial" w:cs="Arial"/>
          <w:bCs/>
          <w:sz w:val="20"/>
          <w:szCs w:val="20"/>
        </w:rPr>
        <w:t>чтобы снизить внешние риски.</w:t>
      </w:r>
    </w:p>
    <w:p w:rsidR="00987D38" w:rsidRPr="006F4912" w:rsidRDefault="00C56759" w:rsidP="00987D38">
      <w:pPr>
        <w:spacing w:before="240" w:line="240" w:lineRule="auto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6F4912">
        <w:rPr>
          <w:rFonts w:ascii="Arial" w:hAnsi="Arial" w:cs="Arial"/>
          <w:b/>
          <w:bCs/>
          <w:sz w:val="20"/>
          <w:szCs w:val="20"/>
        </w:rPr>
        <w:t>Основные тенденции и перспективы</w:t>
      </w:r>
      <w:r w:rsidR="0077583E" w:rsidRPr="006F4912">
        <w:rPr>
          <w:rFonts w:ascii="Arial" w:hAnsi="Arial" w:cs="Arial"/>
          <w:b/>
          <w:bCs/>
          <w:sz w:val="20"/>
          <w:szCs w:val="20"/>
        </w:rPr>
        <w:t xml:space="preserve"> рынка недвижимости</w:t>
      </w:r>
    </w:p>
    <w:p w:rsidR="00210EB9" w:rsidRPr="00210EB9" w:rsidRDefault="00210EB9" w:rsidP="00782F78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>Факторов, способных вызвать рост цен жилой и коммерческой недвижимости</w:t>
      </w:r>
      <w:r w:rsidR="00A67C3B">
        <w:rPr>
          <w:rFonts w:ascii="Arial" w:hAnsi="Arial" w:cs="Arial"/>
          <w:bCs/>
          <w:sz w:val="20"/>
          <w:szCs w:val="20"/>
        </w:rPr>
        <w:t xml:space="preserve"> в 2016 году</w:t>
      </w:r>
      <w:r w:rsidRPr="00210EB9">
        <w:rPr>
          <w:rFonts w:ascii="Arial" w:hAnsi="Arial" w:cs="Arial"/>
          <w:bCs/>
          <w:sz w:val="20"/>
          <w:szCs w:val="20"/>
        </w:rPr>
        <w:t xml:space="preserve">, нет, поскольку </w:t>
      </w:r>
      <w:r w:rsidR="009B1D25">
        <w:rPr>
          <w:rFonts w:ascii="Arial" w:hAnsi="Arial" w:cs="Arial"/>
          <w:bCs/>
          <w:sz w:val="20"/>
          <w:szCs w:val="20"/>
        </w:rPr>
        <w:t>2015 год показал</w:t>
      </w:r>
      <w:r w:rsidRPr="00210EB9">
        <w:rPr>
          <w:rFonts w:ascii="Arial" w:hAnsi="Arial" w:cs="Arial"/>
          <w:bCs/>
          <w:sz w:val="20"/>
          <w:szCs w:val="20"/>
        </w:rPr>
        <w:t xml:space="preserve"> снижение </w:t>
      </w:r>
      <w:r w:rsidR="00FE1BC1">
        <w:rPr>
          <w:rFonts w:ascii="Arial" w:hAnsi="Arial" w:cs="Arial"/>
          <w:bCs/>
          <w:sz w:val="20"/>
          <w:szCs w:val="20"/>
        </w:rPr>
        <w:t xml:space="preserve">основных </w:t>
      </w:r>
      <w:r w:rsidRPr="00210EB9">
        <w:rPr>
          <w:rFonts w:ascii="Arial" w:hAnsi="Arial" w:cs="Arial"/>
          <w:bCs/>
          <w:sz w:val="20"/>
          <w:szCs w:val="20"/>
        </w:rPr>
        <w:t>экономических показателей, снижени</w:t>
      </w:r>
      <w:r w:rsidR="00FE1BC1">
        <w:rPr>
          <w:rFonts w:ascii="Arial" w:hAnsi="Arial" w:cs="Arial"/>
          <w:bCs/>
          <w:sz w:val="20"/>
          <w:szCs w:val="20"/>
        </w:rPr>
        <w:t>е</w:t>
      </w:r>
      <w:r w:rsidR="00E04567">
        <w:rPr>
          <w:rFonts w:ascii="Arial" w:hAnsi="Arial" w:cs="Arial"/>
          <w:bCs/>
          <w:sz w:val="20"/>
          <w:szCs w:val="20"/>
        </w:rPr>
        <w:t xml:space="preserve"> доходов бизнеса и населения, снижение спроса. </w:t>
      </w:r>
      <w:r w:rsidR="009B1D25">
        <w:rPr>
          <w:rFonts w:ascii="Arial" w:hAnsi="Arial" w:cs="Arial"/>
          <w:bCs/>
          <w:sz w:val="20"/>
          <w:szCs w:val="20"/>
        </w:rPr>
        <w:t xml:space="preserve">Отрицательные </w:t>
      </w:r>
      <w:r w:rsidR="00FE1BC1">
        <w:rPr>
          <w:rFonts w:ascii="Arial" w:hAnsi="Arial" w:cs="Arial"/>
          <w:bCs/>
          <w:sz w:val="20"/>
          <w:szCs w:val="20"/>
        </w:rPr>
        <w:t xml:space="preserve">данные негативно </w:t>
      </w:r>
      <w:r w:rsidR="00782F78">
        <w:rPr>
          <w:rFonts w:ascii="Arial" w:hAnsi="Arial" w:cs="Arial"/>
          <w:bCs/>
          <w:sz w:val="20"/>
          <w:szCs w:val="20"/>
        </w:rPr>
        <w:t>повлияли</w:t>
      </w:r>
      <w:r w:rsidR="00FE1BC1">
        <w:rPr>
          <w:rFonts w:ascii="Arial" w:hAnsi="Arial" w:cs="Arial"/>
          <w:bCs/>
          <w:sz w:val="20"/>
          <w:szCs w:val="20"/>
        </w:rPr>
        <w:t xml:space="preserve"> на настроение участников рынка.</w:t>
      </w:r>
      <w:r w:rsidR="00782F78">
        <w:rPr>
          <w:rFonts w:ascii="Arial" w:hAnsi="Arial" w:cs="Arial"/>
          <w:bCs/>
          <w:sz w:val="20"/>
          <w:szCs w:val="20"/>
        </w:rPr>
        <w:t xml:space="preserve"> Однако экономические итоги </w:t>
      </w:r>
      <w:r w:rsidR="0025644E">
        <w:rPr>
          <w:rFonts w:ascii="Arial" w:hAnsi="Arial" w:cs="Arial"/>
          <w:bCs/>
          <w:sz w:val="20"/>
          <w:szCs w:val="20"/>
        </w:rPr>
        <w:t>первой половины 2016 года</w:t>
      </w:r>
      <w:r w:rsidR="00782F78">
        <w:rPr>
          <w:rFonts w:ascii="Arial" w:hAnsi="Arial" w:cs="Arial"/>
          <w:bCs/>
          <w:sz w:val="20"/>
          <w:szCs w:val="20"/>
        </w:rPr>
        <w:t xml:space="preserve"> </w:t>
      </w:r>
      <w:r w:rsidR="0025644E">
        <w:rPr>
          <w:rFonts w:ascii="Arial" w:hAnsi="Arial" w:cs="Arial"/>
          <w:bCs/>
          <w:sz w:val="20"/>
          <w:szCs w:val="20"/>
        </w:rPr>
        <w:t xml:space="preserve">показывают, что дно кризиса пройдено и это вселяет </w:t>
      </w:r>
      <w:r w:rsidR="00782F78">
        <w:rPr>
          <w:rFonts w:ascii="Arial" w:hAnsi="Arial" w:cs="Arial"/>
          <w:bCs/>
          <w:sz w:val="20"/>
          <w:szCs w:val="20"/>
        </w:rPr>
        <w:t xml:space="preserve">надежду на восстановление и стабилизацию рынка </w:t>
      </w:r>
      <w:r w:rsidR="0025644E">
        <w:rPr>
          <w:rFonts w:ascii="Arial" w:hAnsi="Arial" w:cs="Arial"/>
          <w:bCs/>
          <w:sz w:val="20"/>
          <w:szCs w:val="20"/>
        </w:rPr>
        <w:t xml:space="preserve">недвижимости </w:t>
      </w:r>
      <w:r w:rsidR="00782F78">
        <w:rPr>
          <w:rFonts w:ascii="Arial" w:hAnsi="Arial" w:cs="Arial"/>
          <w:bCs/>
          <w:sz w:val="20"/>
          <w:szCs w:val="20"/>
        </w:rPr>
        <w:t xml:space="preserve">к концу 2016 года. </w:t>
      </w:r>
    </w:p>
    <w:p w:rsidR="00FE1BC1" w:rsidRPr="00FE1BC1" w:rsidRDefault="00210EB9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 xml:space="preserve">Внутриэкономических причин падения цен на объекты недвижимости в России тоже нет. В условиях </w:t>
      </w:r>
      <w:r w:rsidR="00FE1BC1">
        <w:rPr>
          <w:rFonts w:ascii="Arial" w:hAnsi="Arial" w:cs="Arial"/>
          <w:bCs/>
          <w:sz w:val="20"/>
          <w:szCs w:val="20"/>
        </w:rPr>
        <w:t xml:space="preserve">мировой </w:t>
      </w:r>
      <w:r w:rsidRPr="00210EB9">
        <w:rPr>
          <w:rFonts w:ascii="Arial" w:hAnsi="Arial" w:cs="Arial"/>
          <w:bCs/>
          <w:sz w:val="20"/>
          <w:szCs w:val="20"/>
        </w:rPr>
        <w:t>политической и экономической нестабильности недвижимость, как и прежде, сохраняет свою инвестиционную значимость и важную функцию сбе</w:t>
      </w:r>
      <w:r w:rsidR="00E439F3">
        <w:rPr>
          <w:rFonts w:ascii="Arial" w:hAnsi="Arial" w:cs="Arial"/>
          <w:bCs/>
          <w:sz w:val="20"/>
          <w:szCs w:val="20"/>
        </w:rPr>
        <w:t xml:space="preserve">режения и накопления капитала. </w:t>
      </w:r>
    </w:p>
    <w:p w:rsidR="00C57443" w:rsidRPr="00C57443" w:rsidRDefault="00C57443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Учитывая снижение спроса в сезон отпусков, ещё</w:t>
      </w:r>
      <w:r w:rsidR="00FE1BC1">
        <w:rPr>
          <w:rFonts w:ascii="Arial" w:hAnsi="Arial" w:cs="Arial"/>
          <w:bCs/>
          <w:sz w:val="20"/>
          <w:szCs w:val="20"/>
        </w:rPr>
        <w:t xml:space="preserve"> сохраняется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 некоторая коррекция рыночных цен</w:t>
      </w:r>
      <w:r w:rsidR="00532DAE" w:rsidRPr="00532DAE">
        <w:rPr>
          <w:rFonts w:ascii="Arial" w:hAnsi="Arial" w:cs="Arial"/>
          <w:bCs/>
          <w:sz w:val="20"/>
          <w:szCs w:val="20"/>
        </w:rPr>
        <w:t xml:space="preserve"> </w:t>
      </w:r>
      <w:r w:rsidR="00EF7312" w:rsidRPr="00210EB9">
        <w:rPr>
          <w:rFonts w:ascii="Arial" w:hAnsi="Arial" w:cs="Arial"/>
          <w:bCs/>
          <w:sz w:val="20"/>
          <w:szCs w:val="20"/>
        </w:rPr>
        <w:t xml:space="preserve">в крупных и крупнейших </w:t>
      </w:r>
      <w:r w:rsidR="00B46E11">
        <w:rPr>
          <w:rFonts w:ascii="Arial" w:hAnsi="Arial" w:cs="Arial"/>
          <w:bCs/>
          <w:sz w:val="20"/>
          <w:szCs w:val="20"/>
        </w:rPr>
        <w:t xml:space="preserve">российских </w:t>
      </w:r>
      <w:r w:rsidR="00EF7312" w:rsidRPr="00210EB9">
        <w:rPr>
          <w:rFonts w:ascii="Arial" w:hAnsi="Arial" w:cs="Arial"/>
          <w:bCs/>
          <w:sz w:val="20"/>
          <w:szCs w:val="20"/>
        </w:rPr>
        <w:t>городах с плотной застройкой</w:t>
      </w:r>
      <w:r w:rsidR="00532DAE">
        <w:rPr>
          <w:rFonts w:ascii="Arial" w:hAnsi="Arial" w:cs="Arial"/>
          <w:bCs/>
          <w:sz w:val="20"/>
          <w:szCs w:val="20"/>
        </w:rPr>
        <w:t>, где</w:t>
      </w:r>
      <w:r w:rsidR="00532DAE" w:rsidRPr="00210EB9">
        <w:rPr>
          <w:rFonts w:ascii="Arial" w:hAnsi="Arial" w:cs="Arial"/>
          <w:bCs/>
          <w:sz w:val="20"/>
          <w:szCs w:val="20"/>
        </w:rPr>
        <w:t xml:space="preserve"> 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в предыдущие </w:t>
      </w:r>
      <w:r w:rsidR="00EF7312">
        <w:rPr>
          <w:rFonts w:ascii="Arial" w:hAnsi="Arial" w:cs="Arial"/>
          <w:bCs/>
          <w:sz w:val="20"/>
          <w:szCs w:val="20"/>
        </w:rPr>
        <w:t xml:space="preserve">15 лет (за исключением 2009-2010 </w:t>
      </w:r>
      <w:r w:rsidR="00210EB9" w:rsidRPr="00210EB9">
        <w:rPr>
          <w:rFonts w:ascii="Arial" w:hAnsi="Arial" w:cs="Arial"/>
          <w:bCs/>
          <w:sz w:val="20"/>
          <w:szCs w:val="20"/>
        </w:rPr>
        <w:t>годы</w:t>
      </w:r>
      <w:r w:rsidR="00EF7312">
        <w:rPr>
          <w:rFonts w:ascii="Arial" w:hAnsi="Arial" w:cs="Arial"/>
          <w:bCs/>
          <w:sz w:val="20"/>
          <w:szCs w:val="20"/>
        </w:rPr>
        <w:t>)</w:t>
      </w:r>
      <w:r w:rsidR="00532DAE">
        <w:rPr>
          <w:rFonts w:ascii="Arial" w:hAnsi="Arial" w:cs="Arial"/>
          <w:bCs/>
          <w:sz w:val="20"/>
          <w:szCs w:val="20"/>
        </w:rPr>
        <w:t xml:space="preserve"> отмечался ажиотажный </w:t>
      </w:r>
      <w:r w:rsidR="00EF7312">
        <w:rPr>
          <w:rFonts w:ascii="Arial" w:hAnsi="Arial" w:cs="Arial"/>
          <w:bCs/>
          <w:sz w:val="20"/>
          <w:szCs w:val="20"/>
        </w:rPr>
        <w:t>рост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. </w:t>
      </w:r>
      <w:r w:rsidR="000D246C">
        <w:rPr>
          <w:rFonts w:ascii="Arial" w:hAnsi="Arial" w:cs="Arial"/>
          <w:bCs/>
          <w:sz w:val="20"/>
          <w:szCs w:val="20"/>
        </w:rPr>
        <w:t xml:space="preserve">В сегодняшней ситуации </w:t>
      </w:r>
      <w:r w:rsidR="00987D38">
        <w:rPr>
          <w:rFonts w:ascii="Arial" w:hAnsi="Arial" w:cs="Arial"/>
          <w:bCs/>
          <w:sz w:val="20"/>
          <w:szCs w:val="20"/>
        </w:rPr>
        <w:t>с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нижение цен недвижимости </w:t>
      </w:r>
      <w:r w:rsidR="000D246C">
        <w:rPr>
          <w:rFonts w:ascii="Arial" w:hAnsi="Arial" w:cs="Arial"/>
          <w:bCs/>
          <w:sz w:val="20"/>
          <w:szCs w:val="20"/>
        </w:rPr>
        <w:t>до минимального (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в пределах себестоимости строительства и нормы прибыли инвестора </w:t>
      </w:r>
      <w:r w:rsidR="00C523BC">
        <w:rPr>
          <w:rFonts w:ascii="Arial" w:hAnsi="Arial" w:cs="Arial"/>
          <w:bCs/>
          <w:sz w:val="20"/>
          <w:szCs w:val="20"/>
        </w:rPr>
        <w:t>в 10 %</w:t>
      </w:r>
      <w:r w:rsidR="000D246C">
        <w:rPr>
          <w:rFonts w:ascii="Arial" w:hAnsi="Arial" w:cs="Arial"/>
          <w:bCs/>
          <w:sz w:val="20"/>
          <w:szCs w:val="20"/>
        </w:rPr>
        <w:t xml:space="preserve">) 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экономически </w:t>
      </w:r>
      <w:r w:rsidR="00C523BC">
        <w:rPr>
          <w:rFonts w:ascii="Arial" w:hAnsi="Arial" w:cs="Arial"/>
          <w:bCs/>
          <w:sz w:val="20"/>
          <w:szCs w:val="20"/>
        </w:rPr>
        <w:t>оправдано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. Другие, низкоактивные региональные рынки </w:t>
      </w:r>
      <w:r w:rsidR="00E439F3">
        <w:rPr>
          <w:rFonts w:ascii="Arial" w:hAnsi="Arial" w:cs="Arial"/>
          <w:bCs/>
          <w:sz w:val="20"/>
          <w:szCs w:val="20"/>
        </w:rPr>
        <w:t xml:space="preserve">недвижимости </w:t>
      </w:r>
      <w:proofErr w:type="gramStart"/>
      <w:r w:rsidR="00210EB9" w:rsidRPr="00210EB9">
        <w:rPr>
          <w:rFonts w:ascii="Arial" w:hAnsi="Arial" w:cs="Arial"/>
          <w:bCs/>
          <w:sz w:val="20"/>
          <w:szCs w:val="20"/>
        </w:rPr>
        <w:t>более инерционн</w:t>
      </w:r>
      <w:r w:rsidR="00E439F3">
        <w:rPr>
          <w:rFonts w:ascii="Arial" w:hAnsi="Arial" w:cs="Arial"/>
          <w:bCs/>
          <w:sz w:val="20"/>
          <w:szCs w:val="20"/>
        </w:rPr>
        <w:t>ы</w:t>
      </w:r>
      <w:proofErr w:type="gramEnd"/>
      <w:r w:rsidR="00E439F3">
        <w:rPr>
          <w:rFonts w:ascii="Arial" w:hAnsi="Arial" w:cs="Arial"/>
          <w:bCs/>
          <w:sz w:val="20"/>
          <w:szCs w:val="20"/>
        </w:rPr>
        <w:t xml:space="preserve">, поэтому продолжат некоторое 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снижение до </w:t>
      </w:r>
      <w:r w:rsidR="00E439F3">
        <w:rPr>
          <w:rFonts w:ascii="Arial" w:hAnsi="Arial" w:cs="Arial"/>
          <w:bCs/>
          <w:sz w:val="20"/>
          <w:szCs w:val="20"/>
        </w:rPr>
        <w:t xml:space="preserve">периода </w:t>
      </w:r>
      <w:r w:rsidR="00210EB9" w:rsidRPr="00210EB9">
        <w:rPr>
          <w:rFonts w:ascii="Arial" w:hAnsi="Arial" w:cs="Arial"/>
          <w:bCs/>
          <w:sz w:val="20"/>
          <w:szCs w:val="20"/>
        </w:rPr>
        <w:t>стабилизаци</w:t>
      </w:r>
      <w:r w:rsidR="00987D38">
        <w:rPr>
          <w:rFonts w:ascii="Arial" w:hAnsi="Arial" w:cs="Arial"/>
          <w:bCs/>
          <w:sz w:val="20"/>
          <w:szCs w:val="20"/>
        </w:rPr>
        <w:t xml:space="preserve">и общеэкономической обстановки. </w:t>
      </w:r>
    </w:p>
    <w:p w:rsidR="00C57443" w:rsidRPr="00C57443" w:rsidRDefault="006767E3" w:rsidP="006767E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Start"/>
      <w:r w:rsidR="00A80BF5">
        <w:rPr>
          <w:rFonts w:ascii="Arial" w:hAnsi="Arial" w:cs="Arial"/>
          <w:bCs/>
          <w:sz w:val="20"/>
          <w:szCs w:val="20"/>
        </w:rPr>
        <w:t>С начала года о</w:t>
      </w:r>
      <w:r w:rsidR="00B46E11">
        <w:rPr>
          <w:rFonts w:ascii="Arial" w:hAnsi="Arial" w:cs="Arial"/>
          <w:bCs/>
          <w:sz w:val="20"/>
          <w:szCs w:val="20"/>
        </w:rPr>
        <w:t xml:space="preserve">тмечается снижение </w:t>
      </w:r>
      <w:r>
        <w:rPr>
          <w:rFonts w:ascii="Arial" w:hAnsi="Arial" w:cs="Arial"/>
          <w:bCs/>
          <w:sz w:val="20"/>
          <w:szCs w:val="20"/>
        </w:rPr>
        <w:t>(-</w:t>
      </w:r>
      <w:r w:rsidR="00B46E11">
        <w:rPr>
          <w:rFonts w:ascii="Arial" w:hAnsi="Arial" w:cs="Arial"/>
          <w:bCs/>
          <w:sz w:val="20"/>
          <w:szCs w:val="20"/>
        </w:rPr>
        <w:t>1,6</w:t>
      </w:r>
      <w:r w:rsidR="00987D38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</w:t>
      </w:r>
      <w:r w:rsidR="00987D38">
        <w:rPr>
          <w:rFonts w:ascii="Arial" w:hAnsi="Arial" w:cs="Arial"/>
          <w:bCs/>
          <w:sz w:val="20"/>
          <w:szCs w:val="20"/>
        </w:rPr>
        <w:t xml:space="preserve"> цен на жильё вторичного рынка</w:t>
      </w:r>
      <w:r>
        <w:rPr>
          <w:rFonts w:ascii="Arial" w:hAnsi="Arial" w:cs="Arial"/>
          <w:bCs/>
          <w:sz w:val="20"/>
          <w:szCs w:val="20"/>
        </w:rPr>
        <w:t xml:space="preserve"> и </w:t>
      </w:r>
      <w:r w:rsidR="00B46E11">
        <w:rPr>
          <w:rFonts w:ascii="Arial" w:hAnsi="Arial" w:cs="Arial"/>
          <w:bCs/>
          <w:sz w:val="20"/>
          <w:szCs w:val="20"/>
        </w:rPr>
        <w:t xml:space="preserve">снижение на </w:t>
      </w:r>
      <w:r>
        <w:rPr>
          <w:rFonts w:ascii="Arial" w:hAnsi="Arial" w:cs="Arial"/>
          <w:bCs/>
          <w:sz w:val="20"/>
          <w:szCs w:val="20"/>
        </w:rPr>
        <w:t>(-4,6</w:t>
      </w:r>
      <w:r w:rsidR="00B46E11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</w:t>
      </w:r>
      <w:r w:rsidR="00B46E11">
        <w:rPr>
          <w:rFonts w:ascii="Arial" w:hAnsi="Arial" w:cs="Arial"/>
          <w:bCs/>
          <w:sz w:val="20"/>
          <w:szCs w:val="20"/>
        </w:rPr>
        <w:t xml:space="preserve"> на квартиры первичного рынка, </w:t>
      </w:r>
      <w:r w:rsidR="00C57443">
        <w:rPr>
          <w:rFonts w:ascii="Arial" w:hAnsi="Arial" w:cs="Arial"/>
          <w:bCs/>
          <w:sz w:val="20"/>
          <w:szCs w:val="20"/>
        </w:rPr>
        <w:t xml:space="preserve">незначительный </w:t>
      </w:r>
      <w:r w:rsidR="00A80BF5">
        <w:rPr>
          <w:rFonts w:ascii="Arial" w:hAnsi="Arial" w:cs="Arial"/>
          <w:bCs/>
          <w:sz w:val="20"/>
          <w:szCs w:val="20"/>
        </w:rPr>
        <w:t>рост</w:t>
      </w:r>
      <w:r w:rsidR="00A80BF5">
        <w:rPr>
          <w:rFonts w:ascii="Arial" w:hAnsi="Arial" w:cs="Arial"/>
          <w:bCs/>
          <w:sz w:val="20"/>
          <w:szCs w:val="20"/>
        </w:rPr>
        <w:t xml:space="preserve"> </w:t>
      </w:r>
      <w:r w:rsidR="00A80BF5">
        <w:rPr>
          <w:rFonts w:ascii="Arial" w:hAnsi="Arial" w:cs="Arial"/>
          <w:bCs/>
          <w:sz w:val="20"/>
          <w:szCs w:val="20"/>
        </w:rPr>
        <w:t xml:space="preserve">цен продажи </w:t>
      </w:r>
      <w:r w:rsidR="00C57443">
        <w:rPr>
          <w:rFonts w:ascii="Arial" w:hAnsi="Arial" w:cs="Arial"/>
          <w:bCs/>
          <w:sz w:val="20"/>
          <w:szCs w:val="20"/>
        </w:rPr>
        <w:t xml:space="preserve">в пределах </w:t>
      </w:r>
      <w:r>
        <w:rPr>
          <w:rFonts w:ascii="Arial" w:hAnsi="Arial" w:cs="Arial"/>
          <w:bCs/>
          <w:sz w:val="20"/>
          <w:szCs w:val="20"/>
        </w:rPr>
        <w:t>(+0,5</w:t>
      </w:r>
      <w:r w:rsidR="00C57443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</w:t>
      </w:r>
      <w:r w:rsidR="00C57443">
        <w:rPr>
          <w:rFonts w:ascii="Arial" w:hAnsi="Arial" w:cs="Arial"/>
          <w:bCs/>
          <w:sz w:val="20"/>
          <w:szCs w:val="20"/>
        </w:rPr>
        <w:t xml:space="preserve"> офисных </w:t>
      </w:r>
      <w:r w:rsidR="00A80BF5">
        <w:rPr>
          <w:rFonts w:ascii="Arial" w:hAnsi="Arial" w:cs="Arial"/>
          <w:bCs/>
          <w:sz w:val="20"/>
          <w:szCs w:val="20"/>
        </w:rPr>
        <w:t xml:space="preserve">и </w:t>
      </w:r>
      <w:r>
        <w:rPr>
          <w:rFonts w:ascii="Arial" w:hAnsi="Arial" w:cs="Arial"/>
          <w:bCs/>
          <w:sz w:val="20"/>
          <w:szCs w:val="20"/>
        </w:rPr>
        <w:t>(+1,4</w:t>
      </w:r>
      <w:r w:rsidR="00A80BF5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</w:t>
      </w:r>
      <w:r w:rsidR="00A80BF5">
        <w:rPr>
          <w:rFonts w:ascii="Arial" w:hAnsi="Arial" w:cs="Arial"/>
          <w:bCs/>
          <w:sz w:val="20"/>
          <w:szCs w:val="20"/>
        </w:rPr>
        <w:t xml:space="preserve"> торговых объектов</w:t>
      </w:r>
      <w:r w:rsidR="00C57443">
        <w:rPr>
          <w:rFonts w:ascii="Arial" w:hAnsi="Arial" w:cs="Arial"/>
          <w:bCs/>
          <w:sz w:val="20"/>
          <w:szCs w:val="20"/>
        </w:rPr>
        <w:t xml:space="preserve">, снижение </w:t>
      </w:r>
      <w:r w:rsidR="00A80BF5">
        <w:rPr>
          <w:rFonts w:ascii="Arial" w:hAnsi="Arial" w:cs="Arial"/>
          <w:bCs/>
          <w:sz w:val="20"/>
          <w:szCs w:val="20"/>
        </w:rPr>
        <w:t xml:space="preserve">цен </w:t>
      </w:r>
      <w:r w:rsidR="00C57443">
        <w:rPr>
          <w:rFonts w:ascii="Arial" w:hAnsi="Arial" w:cs="Arial"/>
          <w:bCs/>
          <w:sz w:val="20"/>
          <w:szCs w:val="20"/>
        </w:rPr>
        <w:t xml:space="preserve">на </w:t>
      </w:r>
      <w:r>
        <w:rPr>
          <w:rFonts w:ascii="Arial" w:hAnsi="Arial" w:cs="Arial"/>
          <w:bCs/>
          <w:sz w:val="20"/>
          <w:szCs w:val="20"/>
        </w:rPr>
        <w:t>(-2,6</w:t>
      </w:r>
      <w:r w:rsidR="00C57443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</w:t>
      </w:r>
      <w:r w:rsidR="00C57443">
        <w:rPr>
          <w:rFonts w:ascii="Arial" w:hAnsi="Arial" w:cs="Arial"/>
          <w:bCs/>
          <w:sz w:val="20"/>
          <w:szCs w:val="20"/>
        </w:rPr>
        <w:t xml:space="preserve"> на рынке аренды офисных помещений</w:t>
      </w:r>
      <w:r w:rsidR="00A80BF5">
        <w:rPr>
          <w:rFonts w:ascii="Arial" w:hAnsi="Arial" w:cs="Arial"/>
          <w:bCs/>
          <w:sz w:val="20"/>
          <w:szCs w:val="20"/>
        </w:rPr>
        <w:t xml:space="preserve"> и </w:t>
      </w:r>
      <w:r w:rsidR="00B46E11">
        <w:rPr>
          <w:rFonts w:ascii="Arial" w:hAnsi="Arial" w:cs="Arial"/>
          <w:bCs/>
          <w:sz w:val="20"/>
          <w:szCs w:val="20"/>
        </w:rPr>
        <w:t xml:space="preserve">снижение </w:t>
      </w:r>
      <w:r w:rsidR="00A80BF5">
        <w:rPr>
          <w:rFonts w:ascii="Arial" w:hAnsi="Arial" w:cs="Arial"/>
          <w:bCs/>
          <w:sz w:val="20"/>
          <w:szCs w:val="20"/>
        </w:rPr>
        <w:t xml:space="preserve">на </w:t>
      </w:r>
      <w:r>
        <w:rPr>
          <w:rFonts w:ascii="Arial" w:hAnsi="Arial" w:cs="Arial"/>
          <w:bCs/>
          <w:sz w:val="20"/>
          <w:szCs w:val="20"/>
        </w:rPr>
        <w:t>(-</w:t>
      </w:r>
      <w:r w:rsidR="00A80BF5">
        <w:rPr>
          <w:rFonts w:ascii="Arial" w:hAnsi="Arial" w:cs="Arial"/>
          <w:bCs/>
          <w:sz w:val="20"/>
          <w:szCs w:val="20"/>
        </w:rPr>
        <w:t>3,5%</w:t>
      </w:r>
      <w:r>
        <w:rPr>
          <w:rFonts w:ascii="Arial" w:hAnsi="Arial" w:cs="Arial"/>
          <w:bCs/>
          <w:sz w:val="20"/>
          <w:szCs w:val="20"/>
        </w:rPr>
        <w:t>)</w:t>
      </w:r>
      <w:r w:rsidR="00A80BF5">
        <w:rPr>
          <w:rFonts w:ascii="Arial" w:hAnsi="Arial" w:cs="Arial"/>
          <w:bCs/>
          <w:sz w:val="20"/>
          <w:szCs w:val="20"/>
        </w:rPr>
        <w:t xml:space="preserve"> торговых помещений</w:t>
      </w:r>
      <w:r w:rsidR="00B46E11">
        <w:rPr>
          <w:rFonts w:ascii="Arial" w:hAnsi="Arial" w:cs="Arial"/>
          <w:bCs/>
          <w:sz w:val="20"/>
          <w:szCs w:val="20"/>
        </w:rPr>
        <w:t xml:space="preserve">, снижение </w:t>
      </w:r>
      <w:r w:rsidR="00B46E11">
        <w:rPr>
          <w:rFonts w:ascii="Arial" w:hAnsi="Arial" w:cs="Arial"/>
          <w:bCs/>
          <w:sz w:val="20"/>
          <w:szCs w:val="20"/>
        </w:rPr>
        <w:t xml:space="preserve">на </w:t>
      </w:r>
      <w:r>
        <w:rPr>
          <w:rFonts w:ascii="Arial" w:hAnsi="Arial" w:cs="Arial"/>
          <w:bCs/>
          <w:sz w:val="20"/>
          <w:szCs w:val="20"/>
        </w:rPr>
        <w:t>(-3,1</w:t>
      </w:r>
      <w:r w:rsidR="00B46E11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</w:t>
      </w:r>
      <w:r w:rsidR="00B46E11">
        <w:rPr>
          <w:rFonts w:ascii="Arial" w:hAnsi="Arial" w:cs="Arial"/>
          <w:bCs/>
          <w:sz w:val="20"/>
          <w:szCs w:val="20"/>
        </w:rPr>
        <w:t xml:space="preserve"> на рынке продажи </w:t>
      </w:r>
      <w:r>
        <w:rPr>
          <w:rFonts w:ascii="Arial" w:hAnsi="Arial" w:cs="Arial"/>
          <w:bCs/>
          <w:sz w:val="20"/>
          <w:szCs w:val="20"/>
        </w:rPr>
        <w:t xml:space="preserve">и на (-1,4%) на рынке аренды </w:t>
      </w:r>
      <w:r w:rsidR="00B46E11">
        <w:rPr>
          <w:rFonts w:ascii="Arial" w:hAnsi="Arial" w:cs="Arial"/>
          <w:bCs/>
          <w:sz w:val="20"/>
          <w:szCs w:val="20"/>
        </w:rPr>
        <w:t>складской и</w:t>
      </w:r>
      <w:proofErr w:type="gramEnd"/>
      <w:r w:rsidR="00B46E11">
        <w:rPr>
          <w:rFonts w:ascii="Arial" w:hAnsi="Arial" w:cs="Arial"/>
          <w:bCs/>
          <w:sz w:val="20"/>
          <w:szCs w:val="20"/>
        </w:rPr>
        <w:t xml:space="preserve"> производственной недвижимости</w:t>
      </w:r>
      <w:r>
        <w:rPr>
          <w:rFonts w:ascii="Arial" w:hAnsi="Arial" w:cs="Arial"/>
          <w:bCs/>
          <w:sz w:val="20"/>
          <w:szCs w:val="20"/>
        </w:rPr>
        <w:t>.</w:t>
      </w:r>
      <w:r w:rsidR="00B46E11">
        <w:rPr>
          <w:rFonts w:ascii="Arial" w:hAnsi="Arial" w:cs="Arial"/>
          <w:bCs/>
          <w:sz w:val="20"/>
          <w:szCs w:val="20"/>
        </w:rPr>
        <w:t xml:space="preserve"> </w:t>
      </w:r>
    </w:p>
    <w:p w:rsidR="00210EB9" w:rsidRPr="00210EB9" w:rsidRDefault="00210EB9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 xml:space="preserve">В связи со снижением доходности рынка недвижимости </w:t>
      </w:r>
      <w:r w:rsidR="00987D38">
        <w:rPr>
          <w:rFonts w:ascii="Arial" w:hAnsi="Arial" w:cs="Arial"/>
          <w:bCs/>
          <w:sz w:val="20"/>
          <w:szCs w:val="20"/>
        </w:rPr>
        <w:t>сократились</w:t>
      </w:r>
      <w:r w:rsidRPr="00210EB9">
        <w:rPr>
          <w:rFonts w:ascii="Arial" w:hAnsi="Arial" w:cs="Arial"/>
          <w:bCs/>
          <w:sz w:val="20"/>
          <w:szCs w:val="20"/>
        </w:rPr>
        <w:t xml:space="preserve"> объем</w:t>
      </w:r>
      <w:r w:rsidR="00C62942">
        <w:rPr>
          <w:rFonts w:ascii="Arial" w:hAnsi="Arial" w:cs="Arial"/>
          <w:bCs/>
          <w:sz w:val="20"/>
          <w:szCs w:val="20"/>
        </w:rPr>
        <w:t>ы</w:t>
      </w:r>
      <w:r w:rsidRPr="00210EB9">
        <w:rPr>
          <w:rFonts w:ascii="Arial" w:hAnsi="Arial" w:cs="Arial"/>
          <w:bCs/>
          <w:sz w:val="20"/>
          <w:szCs w:val="20"/>
        </w:rPr>
        <w:t xml:space="preserve"> строительства, </w:t>
      </w:r>
      <w:r w:rsidR="00867F1E">
        <w:rPr>
          <w:rFonts w:ascii="Arial" w:hAnsi="Arial" w:cs="Arial"/>
          <w:bCs/>
          <w:sz w:val="20"/>
          <w:szCs w:val="20"/>
        </w:rPr>
        <w:t>что обусл</w:t>
      </w:r>
      <w:r w:rsidR="00BF209B">
        <w:rPr>
          <w:rFonts w:ascii="Arial" w:hAnsi="Arial" w:cs="Arial"/>
          <w:bCs/>
          <w:sz w:val="20"/>
          <w:szCs w:val="20"/>
        </w:rPr>
        <w:t>о</w:t>
      </w:r>
      <w:r w:rsidR="006F4AC0">
        <w:rPr>
          <w:rFonts w:ascii="Arial" w:hAnsi="Arial" w:cs="Arial"/>
          <w:bCs/>
          <w:sz w:val="20"/>
          <w:szCs w:val="20"/>
        </w:rPr>
        <w:t>в</w:t>
      </w:r>
      <w:r w:rsidR="00987D38">
        <w:rPr>
          <w:rFonts w:ascii="Arial" w:hAnsi="Arial" w:cs="Arial"/>
          <w:bCs/>
          <w:sz w:val="20"/>
          <w:szCs w:val="20"/>
        </w:rPr>
        <w:t>ило</w:t>
      </w:r>
      <w:r w:rsidR="006F4AC0">
        <w:rPr>
          <w:rFonts w:ascii="Arial" w:hAnsi="Arial" w:cs="Arial"/>
          <w:bCs/>
          <w:sz w:val="20"/>
          <w:szCs w:val="20"/>
        </w:rPr>
        <w:t xml:space="preserve"> </w:t>
      </w:r>
      <w:r w:rsidR="00867F1E">
        <w:rPr>
          <w:rFonts w:ascii="Arial" w:hAnsi="Arial" w:cs="Arial"/>
          <w:bCs/>
          <w:sz w:val="20"/>
          <w:szCs w:val="20"/>
        </w:rPr>
        <w:t>уход</w:t>
      </w:r>
      <w:r w:rsidR="003C721E">
        <w:rPr>
          <w:rFonts w:ascii="Arial" w:hAnsi="Arial" w:cs="Arial"/>
          <w:bCs/>
          <w:sz w:val="20"/>
          <w:szCs w:val="20"/>
        </w:rPr>
        <w:t xml:space="preserve"> с рынка некоторых</w:t>
      </w:r>
      <w:r w:rsidRPr="00210EB9">
        <w:rPr>
          <w:rFonts w:ascii="Arial" w:hAnsi="Arial" w:cs="Arial"/>
          <w:bCs/>
          <w:sz w:val="20"/>
          <w:szCs w:val="20"/>
        </w:rPr>
        <w:t xml:space="preserve"> инвестиционных и строительных компаний.</w:t>
      </w:r>
      <w:r w:rsidR="00E439F3">
        <w:rPr>
          <w:rFonts w:ascii="Arial" w:hAnsi="Arial" w:cs="Arial"/>
          <w:bCs/>
          <w:sz w:val="20"/>
          <w:szCs w:val="20"/>
        </w:rPr>
        <w:t xml:space="preserve"> Но сокращение строительст</w:t>
      </w:r>
      <w:r w:rsidR="003C721E">
        <w:rPr>
          <w:rFonts w:ascii="Arial" w:hAnsi="Arial" w:cs="Arial"/>
          <w:bCs/>
          <w:sz w:val="20"/>
          <w:szCs w:val="20"/>
        </w:rPr>
        <w:t xml:space="preserve">ва </w:t>
      </w:r>
      <w:r w:rsidR="00BF209B">
        <w:rPr>
          <w:rFonts w:ascii="Arial" w:hAnsi="Arial" w:cs="Arial"/>
          <w:bCs/>
          <w:sz w:val="20"/>
          <w:szCs w:val="20"/>
        </w:rPr>
        <w:t xml:space="preserve">и постепенное восстановление потребительского спроса </w:t>
      </w:r>
      <w:r w:rsidR="003C721E">
        <w:rPr>
          <w:rFonts w:ascii="Arial" w:hAnsi="Arial" w:cs="Arial"/>
          <w:bCs/>
          <w:sz w:val="20"/>
          <w:szCs w:val="20"/>
        </w:rPr>
        <w:t>подтолкнет рынок к росту цен и стабилизирует строительную индустрию.</w:t>
      </w:r>
    </w:p>
    <w:p w:rsidR="006767E3" w:rsidRPr="00210EB9" w:rsidRDefault="006767E3" w:rsidP="006767E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Восстановление и господдержка ипотечного кредитования, расширение кредитования бизнеса стабилизируют спрос, но </w:t>
      </w:r>
      <w:r w:rsidR="00A67C3B">
        <w:rPr>
          <w:rFonts w:ascii="Arial" w:hAnsi="Arial" w:cs="Arial"/>
          <w:bCs/>
          <w:sz w:val="20"/>
          <w:szCs w:val="20"/>
        </w:rPr>
        <w:t xml:space="preserve">учитывая </w:t>
      </w:r>
      <w:r>
        <w:rPr>
          <w:rFonts w:ascii="Arial" w:hAnsi="Arial" w:cs="Arial"/>
          <w:bCs/>
          <w:sz w:val="20"/>
          <w:szCs w:val="20"/>
        </w:rPr>
        <w:t>сезонность цен недвижимости</w:t>
      </w:r>
      <w:r w:rsidR="00A67C3B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67C3B">
        <w:rPr>
          <w:rFonts w:ascii="Arial" w:hAnsi="Arial" w:cs="Arial"/>
          <w:bCs/>
          <w:sz w:val="20"/>
          <w:szCs w:val="20"/>
        </w:rPr>
        <w:t>можно</w:t>
      </w:r>
      <w:r>
        <w:rPr>
          <w:rFonts w:ascii="Arial" w:hAnsi="Arial" w:cs="Arial"/>
          <w:bCs/>
          <w:sz w:val="20"/>
          <w:szCs w:val="20"/>
        </w:rPr>
        <w:t xml:space="preserve"> увидеть рост только </w:t>
      </w:r>
      <w:r w:rsidR="00A67C3B">
        <w:rPr>
          <w:rFonts w:ascii="Arial" w:hAnsi="Arial" w:cs="Arial"/>
          <w:bCs/>
          <w:sz w:val="20"/>
          <w:szCs w:val="20"/>
        </w:rPr>
        <w:t xml:space="preserve">к </w:t>
      </w:r>
      <w:proofErr w:type="spellStart"/>
      <w:r w:rsidR="00A67C3B">
        <w:rPr>
          <w:rFonts w:ascii="Arial" w:hAnsi="Arial" w:cs="Arial"/>
          <w:bCs/>
          <w:sz w:val="20"/>
          <w:szCs w:val="20"/>
        </w:rPr>
        <w:t>кунцу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2016 года.</w:t>
      </w:r>
    </w:p>
    <w:p w:rsidR="00210EB9" w:rsidRPr="00A039E6" w:rsidRDefault="00210EB9" w:rsidP="00A039E6">
      <w:pPr>
        <w:numPr>
          <w:ilvl w:val="0"/>
          <w:numId w:val="2"/>
        </w:numPr>
        <w:spacing w:before="240" w:line="240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>В последующие периоды при условии политической и экономической стабильности, при условии стимулирования потребительского спроса, смягчении финансово-кредитной политики государства и поддержке кредитования вероятен ро</w:t>
      </w:r>
      <w:proofErr w:type="gramStart"/>
      <w:r w:rsidRPr="00210EB9">
        <w:rPr>
          <w:rFonts w:ascii="Arial" w:hAnsi="Arial" w:cs="Arial"/>
          <w:bCs/>
          <w:sz w:val="20"/>
          <w:szCs w:val="20"/>
        </w:rPr>
        <w:t>ст спр</w:t>
      </w:r>
      <w:proofErr w:type="gramEnd"/>
      <w:r w:rsidRPr="00210EB9">
        <w:rPr>
          <w:rFonts w:ascii="Arial" w:hAnsi="Arial" w:cs="Arial"/>
          <w:bCs/>
          <w:sz w:val="20"/>
          <w:szCs w:val="20"/>
        </w:rPr>
        <w:t xml:space="preserve">оса на недвижимость и некоторый рост цен. </w:t>
      </w:r>
    </w:p>
    <w:p w:rsidR="00A039E6" w:rsidRPr="00210EB9" w:rsidRDefault="00A039E6" w:rsidP="00A039E6">
      <w:pPr>
        <w:spacing w:before="240" w:line="240" w:lineRule="auto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:rsidR="00210EB9" w:rsidRPr="00210EB9" w:rsidRDefault="00210EB9" w:rsidP="00210EB9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sz w:val="20"/>
          <w:szCs w:val="20"/>
        </w:rPr>
        <w:t xml:space="preserve">(Анализ подготовлен специалистами </w:t>
      </w:r>
      <w:hyperlink r:id="rId12" w:history="1">
        <w:r w:rsidRPr="00210EB9">
          <w:rPr>
            <w:rStyle w:val="a5"/>
            <w:rFonts w:ascii="Arial" w:hAnsi="Arial" w:cs="Arial"/>
            <w:sz w:val="20"/>
            <w:szCs w:val="20"/>
          </w:rPr>
          <w:t>СтатРиелт</w:t>
        </w:r>
      </w:hyperlink>
      <w:r w:rsidRPr="00210EB9">
        <w:rPr>
          <w:rFonts w:ascii="Arial" w:hAnsi="Arial" w:cs="Arial"/>
          <w:sz w:val="20"/>
          <w:szCs w:val="20"/>
        </w:rPr>
        <w:t>)</w:t>
      </w:r>
    </w:p>
    <w:p w:rsidR="00210EB9" w:rsidRPr="00210EB9" w:rsidRDefault="00210EB9" w:rsidP="00210EB9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210EB9" w:rsidRPr="00210EB9" w:rsidRDefault="00210EB9" w:rsidP="00210EB9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sz w:val="20"/>
          <w:szCs w:val="20"/>
        </w:rPr>
        <w:t>Использованные материалы:</w:t>
      </w:r>
    </w:p>
    <w:p w:rsidR="00BF209B" w:rsidRPr="00BF209B" w:rsidRDefault="00BF209B" w:rsidP="00210EB9">
      <w:pPr>
        <w:numPr>
          <w:ilvl w:val="0"/>
          <w:numId w:val="4"/>
        </w:numPr>
        <w:spacing w:after="0" w:line="240" w:lineRule="auto"/>
        <w:contextualSpacing/>
        <w:rPr>
          <w:rStyle w:val="a5"/>
          <w:rFonts w:ascii="Arial" w:hAnsi="Arial" w:cs="Arial"/>
          <w:color w:val="auto"/>
          <w:sz w:val="20"/>
          <w:szCs w:val="20"/>
          <w:u w:val="none"/>
        </w:rPr>
      </w:pPr>
      <w:r w:rsidRPr="00E823DE">
        <w:rPr>
          <w:rFonts w:ascii="Arial" w:hAnsi="Arial" w:cs="Arial"/>
          <w:sz w:val="20"/>
          <w:szCs w:val="20"/>
        </w:rPr>
        <w:t>Центральный банк</w:t>
      </w:r>
      <w:r>
        <w:rPr>
          <w:rFonts w:ascii="Arial" w:hAnsi="Arial" w:cs="Arial"/>
          <w:sz w:val="20"/>
          <w:szCs w:val="20"/>
        </w:rPr>
        <w:t xml:space="preserve"> </w:t>
      </w:r>
      <w:r w:rsidRPr="00E823DE">
        <w:rPr>
          <w:rFonts w:ascii="Arial" w:hAnsi="Arial" w:cs="Arial"/>
          <w:sz w:val="20"/>
          <w:szCs w:val="20"/>
        </w:rPr>
        <w:t xml:space="preserve">Российской Федерации  </w:t>
      </w:r>
      <w:hyperlink r:id="rId13" w:history="1">
        <w:r w:rsidRPr="00E823DE">
          <w:rPr>
            <w:rStyle w:val="a5"/>
            <w:rFonts w:ascii="Arial" w:hAnsi="Arial" w:cs="Arial"/>
            <w:sz w:val="20"/>
            <w:szCs w:val="20"/>
          </w:rPr>
          <w:t>http://www.cbr.ru</w:t>
        </w:r>
      </w:hyperlink>
      <w:r w:rsidR="00A67C3B">
        <w:rPr>
          <w:rStyle w:val="a5"/>
          <w:rFonts w:ascii="Arial" w:hAnsi="Arial" w:cs="Arial"/>
          <w:sz w:val="20"/>
          <w:szCs w:val="20"/>
        </w:rPr>
        <w:t>,</w:t>
      </w:r>
    </w:p>
    <w:p w:rsidR="00E823DE" w:rsidRDefault="00A67C3B" w:rsidP="00BF209B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Федеральная </w:t>
      </w:r>
      <w:r w:rsidR="00210EB9" w:rsidRPr="00210EB9">
        <w:rPr>
          <w:rFonts w:ascii="Arial" w:hAnsi="Arial" w:cs="Arial"/>
          <w:sz w:val="20"/>
          <w:szCs w:val="20"/>
        </w:rPr>
        <w:t xml:space="preserve">служба государственной статистики. </w:t>
      </w:r>
      <w:hyperlink r:id="rId14" w:history="1">
        <w:r w:rsidR="00BF209B" w:rsidRPr="00B0307D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="00BF209B" w:rsidRPr="00B0307D">
          <w:rPr>
            <w:rStyle w:val="a5"/>
            <w:rFonts w:ascii="Arial" w:hAnsi="Arial" w:cs="Arial"/>
            <w:sz w:val="20"/>
            <w:szCs w:val="20"/>
          </w:rPr>
          <w:t>.gks.ru</w:t>
        </w:r>
      </w:hyperlink>
      <w:r w:rsidR="00210EB9" w:rsidRPr="00210EB9">
        <w:rPr>
          <w:rFonts w:ascii="Arial" w:hAnsi="Arial" w:cs="Arial"/>
          <w:sz w:val="20"/>
          <w:szCs w:val="20"/>
        </w:rPr>
        <w:t>,</w:t>
      </w:r>
      <w:r w:rsidR="00BF209B">
        <w:rPr>
          <w:rFonts w:ascii="Arial" w:hAnsi="Arial" w:cs="Arial"/>
          <w:sz w:val="20"/>
          <w:szCs w:val="20"/>
        </w:rPr>
        <w:t xml:space="preserve"> </w:t>
      </w:r>
      <w:r w:rsidR="00210EB9" w:rsidRPr="00210EB9">
        <w:rPr>
          <w:rFonts w:ascii="Arial" w:hAnsi="Arial" w:cs="Arial"/>
          <w:sz w:val="20"/>
          <w:szCs w:val="20"/>
        </w:rPr>
        <w:t xml:space="preserve"> </w:t>
      </w:r>
    </w:p>
    <w:p w:rsidR="00A67C3B" w:rsidRPr="00BF209B" w:rsidRDefault="00A67C3B" w:rsidP="00A67C3B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15" w:history="1">
        <w:r w:rsidRPr="007E3243">
          <w:rPr>
            <w:rStyle w:val="a5"/>
            <w:rFonts w:ascii="Arial" w:hAnsi="Arial" w:cs="Arial"/>
            <w:sz w:val="20"/>
            <w:szCs w:val="20"/>
          </w:rPr>
          <w:t>http://www.cbre.ru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210EB9" w:rsidRPr="00210EB9" w:rsidRDefault="00210EB9" w:rsidP="00BF209B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B770D2" w:rsidRPr="004B1153" w:rsidRDefault="00B770D2" w:rsidP="00A43445">
      <w:pPr>
        <w:spacing w:after="0" w:line="240" w:lineRule="auto"/>
        <w:ind w:firstLine="284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5D11" w:rsidRPr="008354C3" w:rsidRDefault="00D35D11" w:rsidP="008354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354C3">
        <w:rPr>
          <w:rFonts w:ascii="Arial" w:hAnsi="Arial" w:cs="Arial"/>
          <w:sz w:val="20"/>
          <w:szCs w:val="20"/>
        </w:rPr>
        <w:t xml:space="preserve"> </w:t>
      </w:r>
    </w:p>
    <w:sectPr w:rsidR="00D35D11" w:rsidRPr="008354C3" w:rsidSect="00D8377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17B"/>
    <w:multiLevelType w:val="hybridMultilevel"/>
    <w:tmpl w:val="5F3A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79D8"/>
    <w:multiLevelType w:val="hybridMultilevel"/>
    <w:tmpl w:val="6AA4800C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7DA4A06"/>
    <w:multiLevelType w:val="hybridMultilevel"/>
    <w:tmpl w:val="BC46721A"/>
    <w:lvl w:ilvl="0" w:tplc="E1A61BE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AD4367"/>
    <w:multiLevelType w:val="hybridMultilevel"/>
    <w:tmpl w:val="29CCC5D4"/>
    <w:lvl w:ilvl="0" w:tplc="E1A61BE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410E"/>
    <w:multiLevelType w:val="hybridMultilevel"/>
    <w:tmpl w:val="0BE6CFE8"/>
    <w:lvl w:ilvl="0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6E626B13"/>
    <w:multiLevelType w:val="hybridMultilevel"/>
    <w:tmpl w:val="D250D064"/>
    <w:lvl w:ilvl="0" w:tplc="247AB9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0A2B"/>
    <w:multiLevelType w:val="hybridMultilevel"/>
    <w:tmpl w:val="739CCAA8"/>
    <w:lvl w:ilvl="0" w:tplc="209C4D36">
      <w:start w:val="1"/>
      <w:numFmt w:val="decimal"/>
      <w:lvlText w:val="%1)"/>
      <w:lvlJc w:val="left"/>
      <w:pPr>
        <w:ind w:left="869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F"/>
    <w:rsid w:val="00001253"/>
    <w:rsid w:val="0000717B"/>
    <w:rsid w:val="00011D9D"/>
    <w:rsid w:val="000344CA"/>
    <w:rsid w:val="0003629A"/>
    <w:rsid w:val="00042FDC"/>
    <w:rsid w:val="0005622B"/>
    <w:rsid w:val="00057314"/>
    <w:rsid w:val="00061503"/>
    <w:rsid w:val="00061B8E"/>
    <w:rsid w:val="0006505F"/>
    <w:rsid w:val="00084C6E"/>
    <w:rsid w:val="000948F3"/>
    <w:rsid w:val="000A3902"/>
    <w:rsid w:val="000A5BB5"/>
    <w:rsid w:val="000B01DB"/>
    <w:rsid w:val="000B121B"/>
    <w:rsid w:val="000B19F5"/>
    <w:rsid w:val="000B468E"/>
    <w:rsid w:val="000C034A"/>
    <w:rsid w:val="000C228D"/>
    <w:rsid w:val="000C4BCF"/>
    <w:rsid w:val="000C5D2F"/>
    <w:rsid w:val="000C6A14"/>
    <w:rsid w:val="000D246C"/>
    <w:rsid w:val="000F391C"/>
    <w:rsid w:val="000F4CCB"/>
    <w:rsid w:val="00100E97"/>
    <w:rsid w:val="0010343A"/>
    <w:rsid w:val="001047F1"/>
    <w:rsid w:val="00110493"/>
    <w:rsid w:val="001112F6"/>
    <w:rsid w:val="001203A5"/>
    <w:rsid w:val="00124876"/>
    <w:rsid w:val="00137588"/>
    <w:rsid w:val="00143C71"/>
    <w:rsid w:val="0016793F"/>
    <w:rsid w:val="001756CE"/>
    <w:rsid w:val="001805FC"/>
    <w:rsid w:val="0019053D"/>
    <w:rsid w:val="001A0C33"/>
    <w:rsid w:val="001B7CAF"/>
    <w:rsid w:val="001E1AA0"/>
    <w:rsid w:val="001F35BE"/>
    <w:rsid w:val="001F56B6"/>
    <w:rsid w:val="00204D55"/>
    <w:rsid w:val="00210EB9"/>
    <w:rsid w:val="00216506"/>
    <w:rsid w:val="00236E48"/>
    <w:rsid w:val="0025644E"/>
    <w:rsid w:val="002613E7"/>
    <w:rsid w:val="002659A7"/>
    <w:rsid w:val="0029586B"/>
    <w:rsid w:val="002A2471"/>
    <w:rsid w:val="002A65D1"/>
    <w:rsid w:val="002C0576"/>
    <w:rsid w:val="002C2690"/>
    <w:rsid w:val="002C5C6D"/>
    <w:rsid w:val="002C74D8"/>
    <w:rsid w:val="002D2E09"/>
    <w:rsid w:val="002E6133"/>
    <w:rsid w:val="002E62F2"/>
    <w:rsid w:val="003102D5"/>
    <w:rsid w:val="00312D0A"/>
    <w:rsid w:val="00321682"/>
    <w:rsid w:val="00344F28"/>
    <w:rsid w:val="00356ED5"/>
    <w:rsid w:val="00360B43"/>
    <w:rsid w:val="00363CDE"/>
    <w:rsid w:val="003658BF"/>
    <w:rsid w:val="00383BD7"/>
    <w:rsid w:val="00391722"/>
    <w:rsid w:val="003B1CE8"/>
    <w:rsid w:val="003C1BB1"/>
    <w:rsid w:val="003C25AC"/>
    <w:rsid w:val="003C3731"/>
    <w:rsid w:val="003C721E"/>
    <w:rsid w:val="00401F58"/>
    <w:rsid w:val="00415745"/>
    <w:rsid w:val="004163E0"/>
    <w:rsid w:val="00424310"/>
    <w:rsid w:val="004272E4"/>
    <w:rsid w:val="00433CE1"/>
    <w:rsid w:val="00476BFD"/>
    <w:rsid w:val="004820BA"/>
    <w:rsid w:val="00491815"/>
    <w:rsid w:val="00491B45"/>
    <w:rsid w:val="0049770C"/>
    <w:rsid w:val="004A0F1A"/>
    <w:rsid w:val="004A50CD"/>
    <w:rsid w:val="004B1153"/>
    <w:rsid w:val="00500A80"/>
    <w:rsid w:val="0050628B"/>
    <w:rsid w:val="00526439"/>
    <w:rsid w:val="00532DAE"/>
    <w:rsid w:val="00550695"/>
    <w:rsid w:val="005518B4"/>
    <w:rsid w:val="00564764"/>
    <w:rsid w:val="005652B3"/>
    <w:rsid w:val="00574D9A"/>
    <w:rsid w:val="0058045C"/>
    <w:rsid w:val="00593089"/>
    <w:rsid w:val="00596141"/>
    <w:rsid w:val="005A1174"/>
    <w:rsid w:val="005A5AF0"/>
    <w:rsid w:val="005B30E6"/>
    <w:rsid w:val="005B4CC5"/>
    <w:rsid w:val="005B6132"/>
    <w:rsid w:val="005C2A23"/>
    <w:rsid w:val="005E4702"/>
    <w:rsid w:val="005E63E4"/>
    <w:rsid w:val="006201EB"/>
    <w:rsid w:val="0062284C"/>
    <w:rsid w:val="0062769C"/>
    <w:rsid w:val="00630BA8"/>
    <w:rsid w:val="006425CF"/>
    <w:rsid w:val="006444D2"/>
    <w:rsid w:val="006521FB"/>
    <w:rsid w:val="00657622"/>
    <w:rsid w:val="00664C44"/>
    <w:rsid w:val="006767E3"/>
    <w:rsid w:val="006770C2"/>
    <w:rsid w:val="00677BBF"/>
    <w:rsid w:val="00681463"/>
    <w:rsid w:val="00683A8A"/>
    <w:rsid w:val="00692665"/>
    <w:rsid w:val="006A12D6"/>
    <w:rsid w:val="006A3899"/>
    <w:rsid w:val="006A6F57"/>
    <w:rsid w:val="006F4912"/>
    <w:rsid w:val="006F4AC0"/>
    <w:rsid w:val="00701EF2"/>
    <w:rsid w:val="0071098F"/>
    <w:rsid w:val="00717B8C"/>
    <w:rsid w:val="00732CDC"/>
    <w:rsid w:val="00733037"/>
    <w:rsid w:val="0077583E"/>
    <w:rsid w:val="00780075"/>
    <w:rsid w:val="00782F78"/>
    <w:rsid w:val="00796444"/>
    <w:rsid w:val="0079678B"/>
    <w:rsid w:val="007A09FB"/>
    <w:rsid w:val="007A0B9B"/>
    <w:rsid w:val="007A6BEE"/>
    <w:rsid w:val="007C43F2"/>
    <w:rsid w:val="007C607A"/>
    <w:rsid w:val="007E5769"/>
    <w:rsid w:val="007E7E9E"/>
    <w:rsid w:val="007F2968"/>
    <w:rsid w:val="007F6961"/>
    <w:rsid w:val="00800FC8"/>
    <w:rsid w:val="0080298A"/>
    <w:rsid w:val="008258DD"/>
    <w:rsid w:val="008354C3"/>
    <w:rsid w:val="00835711"/>
    <w:rsid w:val="008435B2"/>
    <w:rsid w:val="00857151"/>
    <w:rsid w:val="00867F1E"/>
    <w:rsid w:val="00871B07"/>
    <w:rsid w:val="0087417C"/>
    <w:rsid w:val="00875472"/>
    <w:rsid w:val="00876C65"/>
    <w:rsid w:val="008A023A"/>
    <w:rsid w:val="008A0859"/>
    <w:rsid w:val="008A4C3B"/>
    <w:rsid w:val="008A6792"/>
    <w:rsid w:val="008C2008"/>
    <w:rsid w:val="008C2DC2"/>
    <w:rsid w:val="008D63DD"/>
    <w:rsid w:val="008E2551"/>
    <w:rsid w:val="008F31E2"/>
    <w:rsid w:val="00917E3F"/>
    <w:rsid w:val="00923689"/>
    <w:rsid w:val="00935325"/>
    <w:rsid w:val="00942F2C"/>
    <w:rsid w:val="00950434"/>
    <w:rsid w:val="009505DC"/>
    <w:rsid w:val="00972975"/>
    <w:rsid w:val="00986631"/>
    <w:rsid w:val="00987D38"/>
    <w:rsid w:val="00997DD0"/>
    <w:rsid w:val="009A0CBA"/>
    <w:rsid w:val="009B1D25"/>
    <w:rsid w:val="009C6D01"/>
    <w:rsid w:val="009E610D"/>
    <w:rsid w:val="009F349D"/>
    <w:rsid w:val="00A00CDD"/>
    <w:rsid w:val="00A00E14"/>
    <w:rsid w:val="00A0109B"/>
    <w:rsid w:val="00A039E6"/>
    <w:rsid w:val="00A20BEA"/>
    <w:rsid w:val="00A217EA"/>
    <w:rsid w:val="00A32754"/>
    <w:rsid w:val="00A406C4"/>
    <w:rsid w:val="00A4077C"/>
    <w:rsid w:val="00A40F56"/>
    <w:rsid w:val="00A4332A"/>
    <w:rsid w:val="00A43445"/>
    <w:rsid w:val="00A45088"/>
    <w:rsid w:val="00A67C3B"/>
    <w:rsid w:val="00A80BF5"/>
    <w:rsid w:val="00A82EF4"/>
    <w:rsid w:val="00A85E8A"/>
    <w:rsid w:val="00A93E8F"/>
    <w:rsid w:val="00A9509C"/>
    <w:rsid w:val="00AA4140"/>
    <w:rsid w:val="00AA7147"/>
    <w:rsid w:val="00AC6DA9"/>
    <w:rsid w:val="00AD6A35"/>
    <w:rsid w:val="00AE4F15"/>
    <w:rsid w:val="00AF3126"/>
    <w:rsid w:val="00AF5797"/>
    <w:rsid w:val="00B13B71"/>
    <w:rsid w:val="00B21533"/>
    <w:rsid w:val="00B41EBB"/>
    <w:rsid w:val="00B46E11"/>
    <w:rsid w:val="00B53CF4"/>
    <w:rsid w:val="00B61193"/>
    <w:rsid w:val="00B74247"/>
    <w:rsid w:val="00B770D2"/>
    <w:rsid w:val="00B86A39"/>
    <w:rsid w:val="00B94427"/>
    <w:rsid w:val="00BA1ECE"/>
    <w:rsid w:val="00BC52DE"/>
    <w:rsid w:val="00BD32DF"/>
    <w:rsid w:val="00BF209B"/>
    <w:rsid w:val="00BF79E6"/>
    <w:rsid w:val="00C007A5"/>
    <w:rsid w:val="00C00C6E"/>
    <w:rsid w:val="00C07DEF"/>
    <w:rsid w:val="00C17F18"/>
    <w:rsid w:val="00C2021B"/>
    <w:rsid w:val="00C2138D"/>
    <w:rsid w:val="00C34537"/>
    <w:rsid w:val="00C42B74"/>
    <w:rsid w:val="00C523BC"/>
    <w:rsid w:val="00C56759"/>
    <w:rsid w:val="00C57443"/>
    <w:rsid w:val="00C62942"/>
    <w:rsid w:val="00C83491"/>
    <w:rsid w:val="00C961EA"/>
    <w:rsid w:val="00CA274A"/>
    <w:rsid w:val="00CB5EED"/>
    <w:rsid w:val="00CB71B0"/>
    <w:rsid w:val="00CC211B"/>
    <w:rsid w:val="00CC22D6"/>
    <w:rsid w:val="00CC2B6A"/>
    <w:rsid w:val="00CD55C5"/>
    <w:rsid w:val="00CF7155"/>
    <w:rsid w:val="00D003DE"/>
    <w:rsid w:val="00D035C9"/>
    <w:rsid w:val="00D043D9"/>
    <w:rsid w:val="00D058FC"/>
    <w:rsid w:val="00D07C07"/>
    <w:rsid w:val="00D23C92"/>
    <w:rsid w:val="00D25BF9"/>
    <w:rsid w:val="00D35D11"/>
    <w:rsid w:val="00D54D35"/>
    <w:rsid w:val="00D555DA"/>
    <w:rsid w:val="00D62B7F"/>
    <w:rsid w:val="00D65FA2"/>
    <w:rsid w:val="00D6618D"/>
    <w:rsid w:val="00D70C5D"/>
    <w:rsid w:val="00D74407"/>
    <w:rsid w:val="00D74515"/>
    <w:rsid w:val="00D81C47"/>
    <w:rsid w:val="00D8377C"/>
    <w:rsid w:val="00D83B88"/>
    <w:rsid w:val="00D83F1A"/>
    <w:rsid w:val="00D87B56"/>
    <w:rsid w:val="00D91EC6"/>
    <w:rsid w:val="00D92194"/>
    <w:rsid w:val="00DA386B"/>
    <w:rsid w:val="00DB3991"/>
    <w:rsid w:val="00DB4FB5"/>
    <w:rsid w:val="00DB796C"/>
    <w:rsid w:val="00DC2670"/>
    <w:rsid w:val="00DC6C00"/>
    <w:rsid w:val="00DD2A50"/>
    <w:rsid w:val="00DE5C44"/>
    <w:rsid w:val="00DF06A2"/>
    <w:rsid w:val="00DF785A"/>
    <w:rsid w:val="00E025D4"/>
    <w:rsid w:val="00E04567"/>
    <w:rsid w:val="00E11BEA"/>
    <w:rsid w:val="00E2143F"/>
    <w:rsid w:val="00E21770"/>
    <w:rsid w:val="00E242E1"/>
    <w:rsid w:val="00E25146"/>
    <w:rsid w:val="00E26329"/>
    <w:rsid w:val="00E310DA"/>
    <w:rsid w:val="00E3679D"/>
    <w:rsid w:val="00E439F3"/>
    <w:rsid w:val="00E46128"/>
    <w:rsid w:val="00E527B8"/>
    <w:rsid w:val="00E5671E"/>
    <w:rsid w:val="00E618E6"/>
    <w:rsid w:val="00E66224"/>
    <w:rsid w:val="00E80BD1"/>
    <w:rsid w:val="00E823DE"/>
    <w:rsid w:val="00E9247B"/>
    <w:rsid w:val="00E92C52"/>
    <w:rsid w:val="00E968BA"/>
    <w:rsid w:val="00E96ADC"/>
    <w:rsid w:val="00EA4CAD"/>
    <w:rsid w:val="00EA5499"/>
    <w:rsid w:val="00ED0935"/>
    <w:rsid w:val="00ED17F3"/>
    <w:rsid w:val="00EF7312"/>
    <w:rsid w:val="00F007A1"/>
    <w:rsid w:val="00F208C8"/>
    <w:rsid w:val="00F30D9A"/>
    <w:rsid w:val="00F33ABC"/>
    <w:rsid w:val="00F35E84"/>
    <w:rsid w:val="00F63DA9"/>
    <w:rsid w:val="00F72B3F"/>
    <w:rsid w:val="00F85498"/>
    <w:rsid w:val="00F86AE8"/>
    <w:rsid w:val="00F93BCE"/>
    <w:rsid w:val="00F9740F"/>
    <w:rsid w:val="00FA16EB"/>
    <w:rsid w:val="00FB2CE5"/>
    <w:rsid w:val="00FB364E"/>
    <w:rsid w:val="00FB375E"/>
    <w:rsid w:val="00FB48A6"/>
    <w:rsid w:val="00FB6B58"/>
    <w:rsid w:val="00FC3E49"/>
    <w:rsid w:val="00FE1BC1"/>
    <w:rsid w:val="00FF1B9D"/>
    <w:rsid w:val="00FF2F10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-quote3">
    <w:name w:val="marker-quote3"/>
    <w:basedOn w:val="a"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B3"/>
    <w:rPr>
      <w:b/>
      <w:bCs/>
    </w:rPr>
  </w:style>
  <w:style w:type="character" w:customStyle="1" w:styleId="apple-converted-space">
    <w:name w:val="apple-converted-space"/>
    <w:basedOn w:val="a0"/>
    <w:rsid w:val="005652B3"/>
  </w:style>
  <w:style w:type="character" w:styleId="a5">
    <w:name w:val="Hyperlink"/>
    <w:basedOn w:val="a0"/>
    <w:uiPriority w:val="99"/>
    <w:unhideWhenUsed/>
    <w:rsid w:val="00B770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0D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A0F1A"/>
    <w:rPr>
      <w:rFonts w:ascii="Times New Roman" w:hAnsi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D35D1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6119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94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-quote3">
    <w:name w:val="marker-quote3"/>
    <w:basedOn w:val="a"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B3"/>
    <w:rPr>
      <w:b/>
      <w:bCs/>
    </w:rPr>
  </w:style>
  <w:style w:type="character" w:customStyle="1" w:styleId="apple-converted-space">
    <w:name w:val="apple-converted-space"/>
    <w:basedOn w:val="a0"/>
    <w:rsid w:val="005652B3"/>
  </w:style>
  <w:style w:type="character" w:styleId="a5">
    <w:name w:val="Hyperlink"/>
    <w:basedOn w:val="a0"/>
    <w:uiPriority w:val="99"/>
    <w:unhideWhenUsed/>
    <w:rsid w:val="00B770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0D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A0F1A"/>
    <w:rPr>
      <w:rFonts w:ascii="Times New Roman" w:hAnsi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D35D1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6119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94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60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2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1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tatriel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cbre.ru" TargetMode="Externa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hyperlink" Target="http://www.gks.ru/bgd/free/B04_03/IssWWW.exe/Stg/d06/81.htm" TargetMode="External"/><Relationship Id="rId14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F3BD-4EB6-4404-A7B0-BCCD1BFD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8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Чирков</dc:creator>
  <cp:lastModifiedBy>Netbook</cp:lastModifiedBy>
  <cp:revision>15</cp:revision>
  <dcterms:created xsi:type="dcterms:W3CDTF">2016-07-01T03:00:00Z</dcterms:created>
  <dcterms:modified xsi:type="dcterms:W3CDTF">2016-07-02T15:10:00Z</dcterms:modified>
</cp:coreProperties>
</file>